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C2F7A" w14:textId="77777777" w:rsidR="0080611C" w:rsidRPr="00A43F5D" w:rsidRDefault="009C4AB6" w:rsidP="009C4AB6">
      <w:pPr>
        <w:jc w:val="center"/>
        <w:rPr>
          <w:b/>
          <w:sz w:val="24"/>
          <w:szCs w:val="24"/>
        </w:rPr>
      </w:pPr>
      <w:r w:rsidRPr="00A43F5D">
        <w:rPr>
          <w:b/>
          <w:sz w:val="24"/>
          <w:szCs w:val="24"/>
        </w:rPr>
        <w:t>O’Neill Consulting LLC</w:t>
      </w:r>
    </w:p>
    <w:p w14:paraId="6CE63EBF" w14:textId="7D4B54B0" w:rsidR="009C4AB6" w:rsidRPr="00A43F5D" w:rsidRDefault="00CF6D5C" w:rsidP="009C4AB6">
      <w:pPr>
        <w:jc w:val="center"/>
        <w:rPr>
          <w:sz w:val="24"/>
          <w:szCs w:val="24"/>
        </w:rPr>
      </w:pPr>
      <w:r>
        <w:rPr>
          <w:sz w:val="24"/>
          <w:szCs w:val="24"/>
        </w:rPr>
        <w:t>3301 Beach Road NE</w:t>
      </w:r>
    </w:p>
    <w:p w14:paraId="58022703" w14:textId="4F3AE77D" w:rsidR="009C4AB6" w:rsidRPr="00A43F5D" w:rsidRDefault="009C4AB6" w:rsidP="009C4AB6">
      <w:pPr>
        <w:jc w:val="center"/>
        <w:rPr>
          <w:sz w:val="24"/>
          <w:szCs w:val="24"/>
        </w:rPr>
      </w:pPr>
      <w:r w:rsidRPr="00A43F5D">
        <w:rPr>
          <w:sz w:val="24"/>
          <w:szCs w:val="24"/>
        </w:rPr>
        <w:t>Albuquerque NM 871</w:t>
      </w:r>
      <w:r w:rsidR="00CF6D5C">
        <w:rPr>
          <w:sz w:val="24"/>
          <w:szCs w:val="24"/>
        </w:rPr>
        <w:t>04-2911</w:t>
      </w:r>
    </w:p>
    <w:p w14:paraId="659F8138" w14:textId="660D9D1F" w:rsidR="004F5B01" w:rsidRPr="00A43F5D" w:rsidRDefault="004F5B01" w:rsidP="009C4AB6">
      <w:pPr>
        <w:jc w:val="center"/>
        <w:rPr>
          <w:sz w:val="24"/>
          <w:szCs w:val="24"/>
        </w:rPr>
      </w:pPr>
      <w:r w:rsidRPr="00A43F5D">
        <w:rPr>
          <w:sz w:val="24"/>
          <w:szCs w:val="24"/>
        </w:rPr>
        <w:t>505 228-8563</w:t>
      </w:r>
    </w:p>
    <w:p w14:paraId="332D2719" w14:textId="24E4B17B" w:rsidR="001E473F" w:rsidRPr="00A43F5D" w:rsidRDefault="00835509" w:rsidP="00D91306">
      <w:pPr>
        <w:jc w:val="center"/>
        <w:rPr>
          <w:sz w:val="24"/>
          <w:szCs w:val="24"/>
        </w:rPr>
      </w:pPr>
      <w:r>
        <w:rPr>
          <w:sz w:val="24"/>
          <w:szCs w:val="24"/>
        </w:rPr>
        <w:t>May 30, 2024</w:t>
      </w:r>
    </w:p>
    <w:p w14:paraId="6641B72E" w14:textId="77777777" w:rsidR="001E473F" w:rsidRDefault="001E473F" w:rsidP="003A7E3A">
      <w:pPr>
        <w:rPr>
          <w:sz w:val="24"/>
          <w:szCs w:val="24"/>
        </w:rPr>
      </w:pPr>
    </w:p>
    <w:p w14:paraId="0A69A24C" w14:textId="77777777" w:rsidR="00CF6D5C" w:rsidRDefault="00CF6D5C" w:rsidP="003A7E3A">
      <w:pPr>
        <w:rPr>
          <w:sz w:val="24"/>
          <w:szCs w:val="24"/>
        </w:rPr>
      </w:pPr>
      <w:r>
        <w:rPr>
          <w:sz w:val="24"/>
          <w:szCs w:val="24"/>
        </w:rPr>
        <w:t>Stephanie Schardin Clarke</w:t>
      </w:r>
    </w:p>
    <w:p w14:paraId="19CBF441" w14:textId="35543DDD" w:rsidR="00CF6D5C" w:rsidRDefault="00CF6D5C" w:rsidP="003A7E3A">
      <w:pPr>
        <w:rPr>
          <w:sz w:val="24"/>
          <w:szCs w:val="24"/>
        </w:rPr>
      </w:pPr>
      <w:r>
        <w:rPr>
          <w:sz w:val="24"/>
          <w:szCs w:val="24"/>
        </w:rPr>
        <w:t>Secretary of Taxation and Revenue</w:t>
      </w:r>
    </w:p>
    <w:p w14:paraId="5F7FA8C8" w14:textId="37C03B93" w:rsidR="00CF6D5C" w:rsidRDefault="00CF6D5C" w:rsidP="003A7E3A">
      <w:pPr>
        <w:rPr>
          <w:sz w:val="24"/>
          <w:szCs w:val="24"/>
        </w:rPr>
      </w:pPr>
      <w:r>
        <w:rPr>
          <w:sz w:val="24"/>
          <w:szCs w:val="24"/>
        </w:rPr>
        <w:t>P.O. Box 630</w:t>
      </w:r>
    </w:p>
    <w:p w14:paraId="59633AAE" w14:textId="26CBDAC5" w:rsidR="00CF6D5C" w:rsidRDefault="00CF6D5C" w:rsidP="003A7E3A">
      <w:pPr>
        <w:rPr>
          <w:sz w:val="24"/>
          <w:szCs w:val="24"/>
        </w:rPr>
      </w:pPr>
      <w:r>
        <w:rPr>
          <w:sz w:val="24"/>
          <w:szCs w:val="24"/>
        </w:rPr>
        <w:t>Santa Fe, New Mexico 87504-0630</w:t>
      </w:r>
    </w:p>
    <w:p w14:paraId="7AEDB4A3" w14:textId="77777777" w:rsidR="00CF6D5C" w:rsidRPr="00A43F5D" w:rsidRDefault="00CF6D5C" w:rsidP="003A7E3A">
      <w:pPr>
        <w:rPr>
          <w:sz w:val="24"/>
          <w:szCs w:val="24"/>
        </w:rPr>
      </w:pPr>
    </w:p>
    <w:p w14:paraId="021D5C65" w14:textId="77777777" w:rsidR="002D164C" w:rsidRDefault="002D164C" w:rsidP="009C4AB6">
      <w:pPr>
        <w:rPr>
          <w:sz w:val="24"/>
          <w:szCs w:val="24"/>
        </w:rPr>
      </w:pPr>
    </w:p>
    <w:p w14:paraId="3B6E4BC2" w14:textId="4356A947" w:rsidR="009C4AB6" w:rsidRPr="00A43F5D" w:rsidRDefault="00990172" w:rsidP="009C4AB6">
      <w:pPr>
        <w:rPr>
          <w:sz w:val="24"/>
          <w:szCs w:val="24"/>
        </w:rPr>
      </w:pPr>
      <w:r>
        <w:rPr>
          <w:sz w:val="24"/>
          <w:szCs w:val="24"/>
        </w:rPr>
        <w:t xml:space="preserve">Dear </w:t>
      </w:r>
      <w:r w:rsidR="00CF6D5C">
        <w:rPr>
          <w:sz w:val="24"/>
          <w:szCs w:val="24"/>
        </w:rPr>
        <w:t>Secretary Schardin Clarke</w:t>
      </w:r>
      <w:r w:rsidR="00C40F6B">
        <w:rPr>
          <w:sz w:val="24"/>
          <w:szCs w:val="24"/>
        </w:rPr>
        <w:t>:</w:t>
      </w:r>
    </w:p>
    <w:p w14:paraId="115D2CBF" w14:textId="77777777" w:rsidR="003A7E3A" w:rsidRDefault="003A7E3A" w:rsidP="009C4AB6">
      <w:pPr>
        <w:rPr>
          <w:sz w:val="24"/>
          <w:szCs w:val="24"/>
        </w:rPr>
      </w:pPr>
    </w:p>
    <w:p w14:paraId="67F3EF96" w14:textId="208D9361" w:rsidR="00793331" w:rsidRDefault="00CF6D5C" w:rsidP="009C4AB6">
      <w:pPr>
        <w:rPr>
          <w:sz w:val="24"/>
          <w:szCs w:val="24"/>
        </w:rPr>
      </w:pPr>
      <w:r>
        <w:rPr>
          <w:sz w:val="24"/>
          <w:szCs w:val="24"/>
        </w:rPr>
        <w:t xml:space="preserve">This is a comment for the record regarding your </w:t>
      </w:r>
      <w:r w:rsidR="00835509">
        <w:rPr>
          <w:sz w:val="24"/>
          <w:szCs w:val="24"/>
        </w:rPr>
        <w:t>gross receipts tax</w:t>
      </w:r>
      <w:r>
        <w:rPr>
          <w:sz w:val="24"/>
          <w:szCs w:val="24"/>
        </w:rPr>
        <w:t xml:space="preserve"> </w:t>
      </w:r>
      <w:r w:rsidR="00F22BF8">
        <w:rPr>
          <w:sz w:val="24"/>
          <w:szCs w:val="24"/>
        </w:rPr>
        <w:t xml:space="preserve">rule </w:t>
      </w:r>
      <w:r>
        <w:rPr>
          <w:sz w:val="24"/>
          <w:szCs w:val="24"/>
        </w:rPr>
        <w:t>amendment</w:t>
      </w:r>
      <w:r w:rsidR="00793331">
        <w:rPr>
          <w:sz w:val="24"/>
          <w:szCs w:val="24"/>
        </w:rPr>
        <w:t>s</w:t>
      </w:r>
      <w:r>
        <w:rPr>
          <w:sz w:val="24"/>
          <w:szCs w:val="24"/>
        </w:rPr>
        <w:t xml:space="preserve"> </w:t>
      </w:r>
      <w:r w:rsidR="003C67CB">
        <w:rPr>
          <w:sz w:val="24"/>
          <w:szCs w:val="24"/>
        </w:rPr>
        <w:t xml:space="preserve">that were </w:t>
      </w:r>
      <w:r w:rsidR="00835509">
        <w:rPr>
          <w:sz w:val="24"/>
          <w:szCs w:val="24"/>
        </w:rPr>
        <w:t>proposed May 21, 2024.</w:t>
      </w:r>
    </w:p>
    <w:p w14:paraId="10D0594B" w14:textId="77777777" w:rsidR="0090670C" w:rsidRDefault="0090670C" w:rsidP="009C4AB6">
      <w:pPr>
        <w:rPr>
          <w:sz w:val="24"/>
          <w:szCs w:val="24"/>
        </w:rPr>
      </w:pPr>
    </w:p>
    <w:p w14:paraId="6C9F8816" w14:textId="77777777" w:rsidR="00835509" w:rsidRDefault="00835509" w:rsidP="009C4AB6">
      <w:pPr>
        <w:rPr>
          <w:sz w:val="24"/>
          <w:szCs w:val="24"/>
        </w:rPr>
      </w:pPr>
      <w:r>
        <w:rPr>
          <w:sz w:val="24"/>
          <w:szCs w:val="24"/>
        </w:rPr>
        <w:t>1.</w:t>
      </w:r>
      <w:r>
        <w:rPr>
          <w:sz w:val="24"/>
          <w:szCs w:val="24"/>
        </w:rPr>
        <w:tab/>
      </w:r>
      <w:r w:rsidRPr="006B5C01">
        <w:rPr>
          <w:rFonts w:ascii="Verdana" w:hAnsi="Verdana"/>
          <w:sz w:val="28"/>
          <w:szCs w:val="28"/>
        </w:rPr>
        <w:t>General</w:t>
      </w:r>
    </w:p>
    <w:p w14:paraId="7818CA8C" w14:textId="2E48AFA8" w:rsidR="008904CD" w:rsidRDefault="00E339E5" w:rsidP="009C4AB6">
      <w:pPr>
        <w:rPr>
          <w:sz w:val="24"/>
          <w:szCs w:val="24"/>
        </w:rPr>
      </w:pPr>
      <w:r>
        <w:rPr>
          <w:sz w:val="24"/>
          <w:szCs w:val="24"/>
        </w:rPr>
        <w:tab/>
      </w:r>
      <w:r w:rsidR="008904CD">
        <w:rPr>
          <w:sz w:val="24"/>
          <w:szCs w:val="24"/>
        </w:rPr>
        <w:t>In general, I am gratified that Taxation and Revenue Department is taking the opportunity provided by new legislation to review blocks of old rules, whether or not those rules are directly affected by the new legislation. As you know, I have shared some of my efforts over the years to modernize Department rules and I applaud your efforts here. Perhaps this is the beginning of a regular program?</w:t>
      </w:r>
    </w:p>
    <w:p w14:paraId="444986FB" w14:textId="77777777" w:rsidR="008904CD" w:rsidRDefault="008904CD" w:rsidP="008904CD">
      <w:pPr>
        <w:ind w:firstLine="720"/>
        <w:rPr>
          <w:sz w:val="24"/>
          <w:szCs w:val="24"/>
        </w:rPr>
      </w:pPr>
      <w:r>
        <w:rPr>
          <w:sz w:val="24"/>
          <w:szCs w:val="24"/>
        </w:rPr>
        <w:t>The addition of some cross-referencing within the rules is also welcome.</w:t>
      </w:r>
    </w:p>
    <w:p w14:paraId="5B239022" w14:textId="26E04AB0" w:rsidR="008904CD" w:rsidRDefault="003C67CB" w:rsidP="008904CD">
      <w:pPr>
        <w:ind w:firstLine="720"/>
        <w:rPr>
          <w:sz w:val="24"/>
          <w:szCs w:val="24"/>
        </w:rPr>
      </w:pPr>
      <w:r>
        <w:rPr>
          <w:sz w:val="24"/>
          <w:szCs w:val="24"/>
        </w:rPr>
        <w:t>There are some nit-picks mixed in with my substantive comments</w:t>
      </w:r>
      <w:r w:rsidR="008904CD">
        <w:rPr>
          <w:sz w:val="24"/>
          <w:szCs w:val="24"/>
        </w:rPr>
        <w:t xml:space="preserve">. Since in most cases these rules will not be re-visited any time soon, they ought to be </w:t>
      </w:r>
      <w:r w:rsidR="003242FD">
        <w:rPr>
          <w:sz w:val="24"/>
          <w:szCs w:val="24"/>
        </w:rPr>
        <w:t>set out</w:t>
      </w:r>
      <w:r w:rsidR="008904CD">
        <w:rPr>
          <w:sz w:val="24"/>
          <w:szCs w:val="24"/>
        </w:rPr>
        <w:t xml:space="preserve"> in the most comprehensible fashion.</w:t>
      </w:r>
    </w:p>
    <w:p w14:paraId="64001330" w14:textId="29F6AB7A" w:rsidR="00835509" w:rsidRDefault="00F22BF8" w:rsidP="00F22BF8">
      <w:pPr>
        <w:ind w:firstLine="720"/>
        <w:rPr>
          <w:sz w:val="24"/>
          <w:szCs w:val="24"/>
        </w:rPr>
      </w:pPr>
      <w:r>
        <w:rPr>
          <w:sz w:val="24"/>
          <w:szCs w:val="24"/>
        </w:rPr>
        <w:t xml:space="preserve">I am puzzled by one thing. While there </w:t>
      </w:r>
      <w:r w:rsidR="008B294D">
        <w:rPr>
          <w:sz w:val="24"/>
          <w:szCs w:val="24"/>
        </w:rPr>
        <w:t>may be</w:t>
      </w:r>
      <w:r>
        <w:rPr>
          <w:sz w:val="24"/>
          <w:szCs w:val="24"/>
        </w:rPr>
        <w:t xml:space="preserve"> a reason rooted in the deeper rhythms of the New Mexico Administrative Code, w</w:t>
      </w:r>
      <w:r w:rsidR="00E339E5">
        <w:rPr>
          <w:sz w:val="24"/>
          <w:szCs w:val="24"/>
        </w:rPr>
        <w:t>hy replace</w:t>
      </w:r>
      <w:r>
        <w:rPr>
          <w:sz w:val="24"/>
          <w:szCs w:val="24"/>
        </w:rPr>
        <w:t xml:space="preserve"> all of the existing rules instead of simply amending the relevant ones? For example, </w:t>
      </w:r>
      <w:r w:rsidR="00BE0E93">
        <w:rPr>
          <w:sz w:val="24"/>
          <w:szCs w:val="24"/>
        </w:rPr>
        <w:t xml:space="preserve">in this proposal </w:t>
      </w:r>
      <w:r>
        <w:rPr>
          <w:sz w:val="24"/>
          <w:szCs w:val="24"/>
        </w:rPr>
        <w:t xml:space="preserve">3.2.116.1 through 7 and 3.2.211.1 through 6 are replaced even though there is no change to any of them. </w:t>
      </w:r>
      <w:r w:rsidR="00BE0E93">
        <w:rPr>
          <w:sz w:val="24"/>
          <w:szCs w:val="24"/>
        </w:rPr>
        <w:t>What is accomplished</w:t>
      </w:r>
      <w:r>
        <w:rPr>
          <w:sz w:val="24"/>
          <w:szCs w:val="24"/>
        </w:rPr>
        <w:t xml:space="preserve">? </w:t>
      </w:r>
    </w:p>
    <w:p w14:paraId="66BB8ACD" w14:textId="619D5AD2" w:rsidR="00E339E5" w:rsidRDefault="00E339E5" w:rsidP="009C4AB6">
      <w:pPr>
        <w:rPr>
          <w:sz w:val="24"/>
          <w:szCs w:val="24"/>
        </w:rPr>
      </w:pPr>
    </w:p>
    <w:p w14:paraId="0A8E3B21" w14:textId="77777777" w:rsidR="00E339E5" w:rsidRDefault="00E339E5" w:rsidP="009C4AB6">
      <w:pPr>
        <w:rPr>
          <w:sz w:val="24"/>
          <w:szCs w:val="24"/>
        </w:rPr>
      </w:pPr>
    </w:p>
    <w:p w14:paraId="09D657D1" w14:textId="1289365B" w:rsidR="00835509" w:rsidRDefault="00835509" w:rsidP="009C4AB6">
      <w:pPr>
        <w:rPr>
          <w:sz w:val="24"/>
          <w:szCs w:val="24"/>
        </w:rPr>
      </w:pPr>
      <w:r>
        <w:rPr>
          <w:sz w:val="24"/>
          <w:szCs w:val="24"/>
        </w:rPr>
        <w:t>2.</w:t>
      </w:r>
      <w:r>
        <w:rPr>
          <w:sz w:val="24"/>
          <w:szCs w:val="24"/>
        </w:rPr>
        <w:tab/>
      </w:r>
      <w:r w:rsidRPr="006B5C01">
        <w:rPr>
          <w:rFonts w:ascii="Verdana" w:hAnsi="Verdana"/>
          <w:sz w:val="28"/>
          <w:szCs w:val="28"/>
        </w:rPr>
        <w:t>Amendments of 3.2.116 NMAC</w:t>
      </w:r>
    </w:p>
    <w:p w14:paraId="03298543" w14:textId="45E685BD" w:rsidR="00835509" w:rsidRDefault="00835509" w:rsidP="009C4AB6">
      <w:pPr>
        <w:rPr>
          <w:sz w:val="24"/>
          <w:szCs w:val="24"/>
        </w:rPr>
      </w:pPr>
      <w:r>
        <w:rPr>
          <w:sz w:val="24"/>
          <w:szCs w:val="24"/>
        </w:rPr>
        <w:t xml:space="preserve"> </w:t>
      </w:r>
      <w:r>
        <w:rPr>
          <w:sz w:val="24"/>
          <w:szCs w:val="24"/>
        </w:rPr>
        <w:tab/>
      </w:r>
      <w:r w:rsidR="00BF6F55">
        <w:rPr>
          <w:sz w:val="24"/>
          <w:szCs w:val="24"/>
        </w:rPr>
        <w:t xml:space="preserve">(a) </w:t>
      </w:r>
      <w:r w:rsidR="00BF6F55" w:rsidRPr="00BF6F55">
        <w:rPr>
          <w:b/>
          <w:bCs/>
          <w:sz w:val="24"/>
          <w:szCs w:val="24"/>
        </w:rPr>
        <w:t>116.8</w:t>
      </w:r>
      <w:r w:rsidR="00BF6F55">
        <w:rPr>
          <w:sz w:val="24"/>
          <w:szCs w:val="24"/>
        </w:rPr>
        <w:t xml:space="preserve">: Except as noted below, </w:t>
      </w:r>
      <w:r>
        <w:rPr>
          <w:sz w:val="24"/>
          <w:szCs w:val="24"/>
        </w:rPr>
        <w:t xml:space="preserve">I don’t disagree with </w:t>
      </w:r>
      <w:r w:rsidR="00BE0E93">
        <w:rPr>
          <w:sz w:val="24"/>
          <w:szCs w:val="24"/>
        </w:rPr>
        <w:t xml:space="preserve">the substance of </w:t>
      </w:r>
      <w:r>
        <w:rPr>
          <w:sz w:val="24"/>
          <w:szCs w:val="24"/>
        </w:rPr>
        <w:t xml:space="preserve">any of the </w:t>
      </w:r>
      <w:r w:rsidR="00BE0E93">
        <w:rPr>
          <w:sz w:val="24"/>
          <w:szCs w:val="24"/>
        </w:rPr>
        <w:t xml:space="preserve">offered </w:t>
      </w:r>
      <w:r>
        <w:rPr>
          <w:sz w:val="24"/>
          <w:szCs w:val="24"/>
        </w:rPr>
        <w:t xml:space="preserve">changes </w:t>
      </w:r>
      <w:r w:rsidR="00232D5C">
        <w:rPr>
          <w:sz w:val="24"/>
          <w:szCs w:val="24"/>
        </w:rPr>
        <w:t>but</w:t>
      </w:r>
      <w:r>
        <w:rPr>
          <w:sz w:val="24"/>
          <w:szCs w:val="24"/>
        </w:rPr>
        <w:t xml:space="preserve"> I believe they could be written more felicitously. </w:t>
      </w:r>
      <w:r w:rsidR="00AF66B2">
        <w:rPr>
          <w:sz w:val="24"/>
          <w:szCs w:val="24"/>
        </w:rPr>
        <w:t xml:space="preserve">I propose a revision of </w:t>
      </w:r>
      <w:r>
        <w:rPr>
          <w:sz w:val="24"/>
          <w:szCs w:val="24"/>
        </w:rPr>
        <w:t>subsections D through F</w:t>
      </w:r>
      <w:r w:rsidR="00AF66B2">
        <w:rPr>
          <w:sz w:val="24"/>
          <w:szCs w:val="24"/>
        </w:rPr>
        <w:t xml:space="preserve"> as follows</w:t>
      </w:r>
      <w:r>
        <w:rPr>
          <w:sz w:val="24"/>
          <w:szCs w:val="24"/>
        </w:rPr>
        <w:t>:</w:t>
      </w:r>
    </w:p>
    <w:p w14:paraId="1C3B0831" w14:textId="544327B3" w:rsidR="00835509" w:rsidRDefault="00835509" w:rsidP="009C4AB6">
      <w:pPr>
        <w:rPr>
          <w:sz w:val="24"/>
          <w:szCs w:val="24"/>
        </w:rPr>
      </w:pPr>
      <w:r>
        <w:rPr>
          <w:sz w:val="24"/>
          <w:szCs w:val="24"/>
        </w:rPr>
        <w:tab/>
        <w:t>“D.</w:t>
      </w:r>
      <w:r>
        <w:rPr>
          <w:sz w:val="24"/>
          <w:szCs w:val="24"/>
        </w:rPr>
        <w:tab/>
      </w:r>
      <w:r w:rsidR="00AF66B2">
        <w:rPr>
          <w:sz w:val="24"/>
          <w:szCs w:val="24"/>
        </w:rPr>
        <w:t>w</w:t>
      </w:r>
      <w:r>
        <w:rPr>
          <w:sz w:val="24"/>
          <w:szCs w:val="24"/>
        </w:rPr>
        <w:t>hether any promotional activity is associated with the transaction, such as advertising</w:t>
      </w:r>
      <w:r w:rsidR="00AF66B2">
        <w:rPr>
          <w:sz w:val="24"/>
          <w:szCs w:val="24"/>
        </w:rPr>
        <w:t xml:space="preserve"> or</w:t>
      </w:r>
      <w:r>
        <w:rPr>
          <w:sz w:val="24"/>
          <w:szCs w:val="24"/>
        </w:rPr>
        <w:t xml:space="preserve"> a business listing</w:t>
      </w:r>
      <w:r w:rsidR="00AF66B2">
        <w:rPr>
          <w:sz w:val="24"/>
          <w:szCs w:val="24"/>
        </w:rPr>
        <w:t xml:space="preserve"> on web site;</w:t>
      </w:r>
    </w:p>
    <w:p w14:paraId="0FF6E886" w14:textId="54B48954" w:rsidR="00AF66B2" w:rsidRDefault="00AF66B2" w:rsidP="009C4AB6">
      <w:pPr>
        <w:rPr>
          <w:sz w:val="24"/>
          <w:szCs w:val="24"/>
        </w:rPr>
      </w:pPr>
      <w:r>
        <w:rPr>
          <w:sz w:val="24"/>
          <w:szCs w:val="24"/>
        </w:rPr>
        <w:tab/>
        <w:t>E.</w:t>
      </w:r>
      <w:r>
        <w:rPr>
          <w:sz w:val="24"/>
          <w:szCs w:val="24"/>
        </w:rPr>
        <w:tab/>
        <w:t>whether the seller(s)/lessor(s) hold themselves out, or represent themselves, as being in business;</w:t>
      </w:r>
    </w:p>
    <w:p w14:paraId="3E5AD905" w14:textId="0850188F" w:rsidR="00AF66B2" w:rsidRDefault="00AF66B2" w:rsidP="009C4AB6">
      <w:pPr>
        <w:rPr>
          <w:sz w:val="24"/>
          <w:szCs w:val="24"/>
        </w:rPr>
      </w:pPr>
      <w:r>
        <w:rPr>
          <w:sz w:val="24"/>
          <w:szCs w:val="24"/>
        </w:rPr>
        <w:tab/>
        <w:t>F.</w:t>
      </w:r>
      <w:r>
        <w:rPr>
          <w:sz w:val="24"/>
          <w:szCs w:val="24"/>
        </w:rPr>
        <w:tab/>
        <w:t>whether the seller/lessor is found to be engaging in business pursuant to Section 7-9-3.3 NMSA 1978.”</w:t>
      </w:r>
    </w:p>
    <w:p w14:paraId="19A7A964" w14:textId="55E5E4B5" w:rsidR="00AF66B2" w:rsidRPr="00BF6F55" w:rsidRDefault="00AF66B2" w:rsidP="009C4AB6">
      <w:pPr>
        <w:rPr>
          <w:sz w:val="24"/>
          <w:szCs w:val="24"/>
        </w:rPr>
      </w:pPr>
      <w:r>
        <w:rPr>
          <w:sz w:val="24"/>
          <w:szCs w:val="24"/>
        </w:rPr>
        <w:lastRenderedPageBreak/>
        <w:tab/>
        <w:t xml:space="preserve">Note: </w:t>
      </w:r>
      <w:r w:rsidR="00BF6F55">
        <w:rPr>
          <w:sz w:val="24"/>
          <w:szCs w:val="24"/>
        </w:rPr>
        <w:t xml:space="preserve">The meaning of your proposed Subsection F eludes me. Suppose, for example, the “type of sale” is a lease. My suggested replacement is actually more of a placeholder for a clearer </w:t>
      </w:r>
      <w:r w:rsidR="00BF6F55" w:rsidRPr="00BF6F55">
        <w:rPr>
          <w:sz w:val="24"/>
          <w:szCs w:val="24"/>
        </w:rPr>
        <w:t xml:space="preserve">statement of the original </w:t>
      </w:r>
      <w:r w:rsidR="00E339E5">
        <w:rPr>
          <w:sz w:val="24"/>
          <w:szCs w:val="24"/>
        </w:rPr>
        <w:t>idea</w:t>
      </w:r>
      <w:r w:rsidR="00BF6F55" w:rsidRPr="00BF6F55">
        <w:rPr>
          <w:sz w:val="24"/>
          <w:szCs w:val="24"/>
        </w:rPr>
        <w:t>.</w:t>
      </w:r>
    </w:p>
    <w:p w14:paraId="24665F5E" w14:textId="55E05641" w:rsidR="00BF6F55" w:rsidRDefault="00BF6F55" w:rsidP="009C4AB6">
      <w:pPr>
        <w:rPr>
          <w:sz w:val="24"/>
          <w:szCs w:val="24"/>
        </w:rPr>
      </w:pPr>
      <w:r w:rsidRPr="00BF6F55">
        <w:rPr>
          <w:sz w:val="24"/>
          <w:szCs w:val="24"/>
        </w:rPr>
        <w:tab/>
        <w:t xml:space="preserve">(b) </w:t>
      </w:r>
      <w:r w:rsidRPr="00BF6F55">
        <w:rPr>
          <w:b/>
          <w:bCs/>
          <w:sz w:val="24"/>
          <w:szCs w:val="24"/>
        </w:rPr>
        <w:t>116.9</w:t>
      </w:r>
      <w:r>
        <w:rPr>
          <w:sz w:val="24"/>
          <w:szCs w:val="24"/>
        </w:rPr>
        <w:t xml:space="preserve">: </w:t>
      </w:r>
    </w:p>
    <w:p w14:paraId="7BFC30F6" w14:textId="6F83DB74" w:rsidR="00BF6F55" w:rsidRDefault="00BF6F55" w:rsidP="009C4AB6">
      <w:pPr>
        <w:rPr>
          <w:sz w:val="24"/>
          <w:szCs w:val="24"/>
        </w:rPr>
      </w:pPr>
      <w:r>
        <w:rPr>
          <w:sz w:val="24"/>
          <w:szCs w:val="24"/>
        </w:rPr>
        <w:tab/>
        <w:t>Subsection B, 1</w:t>
      </w:r>
      <w:r w:rsidRPr="00BF6F55">
        <w:rPr>
          <w:sz w:val="24"/>
          <w:szCs w:val="24"/>
          <w:vertAlign w:val="superscript"/>
        </w:rPr>
        <w:t>st</w:t>
      </w:r>
      <w:r>
        <w:rPr>
          <w:sz w:val="24"/>
          <w:szCs w:val="24"/>
        </w:rPr>
        <w:t xml:space="preserve"> </w:t>
      </w:r>
      <w:proofErr w:type="gramStart"/>
      <w:r>
        <w:rPr>
          <w:sz w:val="24"/>
          <w:szCs w:val="24"/>
        </w:rPr>
        <w:t>sentence:</w:t>
      </w:r>
      <w:proofErr w:type="gramEnd"/>
      <w:r>
        <w:rPr>
          <w:sz w:val="24"/>
          <w:szCs w:val="24"/>
        </w:rPr>
        <w:t xml:space="preserve"> since the sentence discusses “a business”, change “their” to “its”.</w:t>
      </w:r>
    </w:p>
    <w:p w14:paraId="51143FBE" w14:textId="4A816199" w:rsidR="00C9186F" w:rsidRDefault="00C9186F" w:rsidP="009C4AB6">
      <w:pPr>
        <w:rPr>
          <w:sz w:val="24"/>
          <w:szCs w:val="24"/>
        </w:rPr>
      </w:pPr>
      <w:r>
        <w:rPr>
          <w:sz w:val="24"/>
          <w:szCs w:val="24"/>
        </w:rPr>
        <w:tab/>
        <w:t>Subsection B, 2</w:t>
      </w:r>
      <w:r w:rsidRPr="00C9186F">
        <w:rPr>
          <w:sz w:val="24"/>
          <w:szCs w:val="24"/>
          <w:vertAlign w:val="superscript"/>
        </w:rPr>
        <w:t>nd</w:t>
      </w:r>
      <w:r>
        <w:rPr>
          <w:sz w:val="24"/>
          <w:szCs w:val="24"/>
        </w:rPr>
        <w:t xml:space="preserve"> sentence, inse</w:t>
      </w:r>
      <w:r w:rsidR="009306FA">
        <w:rPr>
          <w:sz w:val="24"/>
          <w:szCs w:val="24"/>
        </w:rPr>
        <w:t>r</w:t>
      </w:r>
      <w:r>
        <w:rPr>
          <w:sz w:val="24"/>
          <w:szCs w:val="24"/>
        </w:rPr>
        <w:t>t a comma after “below”.</w:t>
      </w:r>
    </w:p>
    <w:p w14:paraId="35E47E51" w14:textId="34EAAAD4" w:rsidR="00C9186F" w:rsidRDefault="00C9186F" w:rsidP="009C4AB6">
      <w:pPr>
        <w:rPr>
          <w:sz w:val="24"/>
          <w:szCs w:val="24"/>
        </w:rPr>
      </w:pPr>
      <w:r>
        <w:rPr>
          <w:sz w:val="24"/>
          <w:szCs w:val="24"/>
        </w:rPr>
        <w:tab/>
        <w:t>Paragraph (1): Most property in this country is private property</w:t>
      </w:r>
      <w:r w:rsidR="00E339E5">
        <w:rPr>
          <w:sz w:val="24"/>
          <w:szCs w:val="24"/>
        </w:rPr>
        <w:t>, which means this</w:t>
      </w:r>
      <w:r>
        <w:rPr>
          <w:sz w:val="24"/>
          <w:szCs w:val="24"/>
        </w:rPr>
        <w:t xml:space="preserve"> paragraph is unintentionally far too broad. I suggest replacing “in private and” with “for” and the second “private” with “such”.</w:t>
      </w:r>
    </w:p>
    <w:p w14:paraId="437A9D8C" w14:textId="401CA272" w:rsidR="00C9186F" w:rsidRDefault="00C9186F" w:rsidP="009C4AB6">
      <w:pPr>
        <w:rPr>
          <w:sz w:val="24"/>
          <w:szCs w:val="24"/>
        </w:rPr>
      </w:pPr>
      <w:r>
        <w:rPr>
          <w:sz w:val="24"/>
          <w:szCs w:val="24"/>
        </w:rPr>
        <w:tab/>
        <w:t xml:space="preserve">Paragraph (3): Also, too broad. </w:t>
      </w:r>
      <w:r w:rsidR="00FF71EE">
        <w:rPr>
          <w:sz w:val="24"/>
          <w:szCs w:val="24"/>
        </w:rPr>
        <w:t>Revise the last clause to: “…if {</w:t>
      </w:r>
      <w:r w:rsidR="00FF71EE" w:rsidRPr="00FF71EE">
        <w:rPr>
          <w:strike/>
          <w:sz w:val="24"/>
          <w:szCs w:val="24"/>
        </w:rPr>
        <w:t>the</w:t>
      </w:r>
      <w:r w:rsidR="00FF71EE">
        <w:rPr>
          <w:sz w:val="24"/>
          <w:szCs w:val="24"/>
        </w:rPr>
        <w:t xml:space="preserve">] </w:t>
      </w:r>
      <w:r w:rsidR="00FF71EE" w:rsidRPr="00FF71EE">
        <w:rPr>
          <w:sz w:val="24"/>
          <w:szCs w:val="24"/>
          <w:u w:val="single"/>
        </w:rPr>
        <w:t>those</w:t>
      </w:r>
      <w:r w:rsidR="00FF71EE">
        <w:rPr>
          <w:sz w:val="24"/>
          <w:szCs w:val="24"/>
        </w:rPr>
        <w:t xml:space="preserve"> services are of the same or similar nature as those performed </w:t>
      </w:r>
      <w:r w:rsidR="00FF71EE" w:rsidRPr="00FF71EE">
        <w:rPr>
          <w:sz w:val="24"/>
          <w:szCs w:val="24"/>
          <w:u w:val="single"/>
        </w:rPr>
        <w:t>by the person</w:t>
      </w:r>
      <w:r w:rsidR="00FF71EE">
        <w:rPr>
          <w:sz w:val="24"/>
          <w:szCs w:val="24"/>
        </w:rPr>
        <w:t xml:space="preserve"> for an employer.”</w:t>
      </w:r>
    </w:p>
    <w:p w14:paraId="4C6A8A96" w14:textId="191FF9C9" w:rsidR="00232D5C" w:rsidRDefault="00232D5C" w:rsidP="009C4AB6">
      <w:pPr>
        <w:rPr>
          <w:sz w:val="24"/>
          <w:szCs w:val="24"/>
        </w:rPr>
      </w:pPr>
      <w:r>
        <w:rPr>
          <w:sz w:val="24"/>
          <w:szCs w:val="24"/>
        </w:rPr>
        <w:tab/>
        <w:t xml:space="preserve">Should “or client” be </w:t>
      </w:r>
      <w:r w:rsidR="003E5DAA">
        <w:rPr>
          <w:sz w:val="24"/>
          <w:szCs w:val="24"/>
        </w:rPr>
        <w:t>append</w:t>
      </w:r>
      <w:r>
        <w:rPr>
          <w:sz w:val="24"/>
          <w:szCs w:val="24"/>
        </w:rPr>
        <w:t>ed to the end?</w:t>
      </w:r>
    </w:p>
    <w:p w14:paraId="701ED6F9" w14:textId="4BFAB6E3" w:rsidR="00E339E5" w:rsidRDefault="00E339E5" w:rsidP="009C4AB6">
      <w:pPr>
        <w:rPr>
          <w:sz w:val="24"/>
          <w:szCs w:val="24"/>
        </w:rPr>
      </w:pPr>
      <w:r>
        <w:rPr>
          <w:sz w:val="24"/>
          <w:szCs w:val="24"/>
        </w:rPr>
        <w:tab/>
        <w:t xml:space="preserve">(c) </w:t>
      </w:r>
      <w:r w:rsidRPr="00E339E5">
        <w:rPr>
          <w:b/>
          <w:bCs/>
          <w:sz w:val="24"/>
          <w:szCs w:val="24"/>
        </w:rPr>
        <w:t>116.10</w:t>
      </w:r>
      <w:r>
        <w:rPr>
          <w:sz w:val="24"/>
          <w:szCs w:val="24"/>
        </w:rPr>
        <w:t xml:space="preserve">: </w:t>
      </w:r>
    </w:p>
    <w:p w14:paraId="6AF435F7" w14:textId="7B700A37" w:rsidR="00E339E5" w:rsidRDefault="00E339E5" w:rsidP="009C4AB6">
      <w:pPr>
        <w:rPr>
          <w:sz w:val="24"/>
          <w:szCs w:val="24"/>
        </w:rPr>
      </w:pPr>
      <w:r>
        <w:rPr>
          <w:sz w:val="24"/>
          <w:szCs w:val="24"/>
        </w:rPr>
        <w:tab/>
        <w:t xml:space="preserve">Subsection A: They </w:t>
      </w:r>
      <w:r w:rsidR="00BE0E93">
        <w:rPr>
          <w:sz w:val="24"/>
          <w:szCs w:val="24"/>
        </w:rPr>
        <w:t>do</w:t>
      </w:r>
      <w:r>
        <w:rPr>
          <w:sz w:val="24"/>
          <w:szCs w:val="24"/>
        </w:rPr>
        <w:t xml:space="preserve"> indeed qualify for the deduction under 7-9-53. The whole point to th</w:t>
      </w:r>
      <w:r w:rsidR="002E107B">
        <w:rPr>
          <w:sz w:val="24"/>
          <w:szCs w:val="24"/>
        </w:rPr>
        <w:t>e current</w:t>
      </w:r>
      <w:r>
        <w:rPr>
          <w:sz w:val="24"/>
          <w:szCs w:val="24"/>
        </w:rPr>
        <w:t xml:space="preserve"> rule, however, is to avoid requiring people (voters) who own a ren</w:t>
      </w:r>
      <w:r w:rsidR="002E107B">
        <w:rPr>
          <w:sz w:val="24"/>
          <w:szCs w:val="24"/>
        </w:rPr>
        <w:t>tal</w:t>
      </w:r>
      <w:r>
        <w:rPr>
          <w:sz w:val="24"/>
          <w:szCs w:val="24"/>
        </w:rPr>
        <w:t xml:space="preserve"> unit or two on the side fro</w:t>
      </w:r>
      <w:r w:rsidR="002E107B">
        <w:rPr>
          <w:sz w:val="24"/>
          <w:szCs w:val="24"/>
        </w:rPr>
        <w:t>m</w:t>
      </w:r>
      <w:r>
        <w:rPr>
          <w:sz w:val="24"/>
          <w:szCs w:val="24"/>
        </w:rPr>
        <w:t xml:space="preserve"> having to </w:t>
      </w:r>
      <w:r w:rsidR="002E107B">
        <w:rPr>
          <w:sz w:val="24"/>
          <w:szCs w:val="24"/>
        </w:rPr>
        <w:t xml:space="preserve">register and report, especially since there is </w:t>
      </w:r>
      <w:r w:rsidR="002E107B" w:rsidRPr="002E107B">
        <w:rPr>
          <w:b/>
          <w:bCs/>
          <w:sz w:val="24"/>
          <w:szCs w:val="24"/>
        </w:rPr>
        <w:t>NO</w:t>
      </w:r>
      <w:r w:rsidR="002E107B">
        <w:rPr>
          <w:sz w:val="24"/>
          <w:szCs w:val="24"/>
        </w:rPr>
        <w:t xml:space="preserve"> tax money on the table. </w:t>
      </w:r>
      <w:r w:rsidR="00BE0E93">
        <w:rPr>
          <w:sz w:val="24"/>
          <w:szCs w:val="24"/>
        </w:rPr>
        <w:t xml:space="preserve">The current rule declares that people with fewer than 4 units are not really in business and so do not have to submit to </w:t>
      </w:r>
      <w:r w:rsidR="00F25F38">
        <w:rPr>
          <w:sz w:val="24"/>
          <w:szCs w:val="24"/>
        </w:rPr>
        <w:t xml:space="preserve">this type of </w:t>
      </w:r>
      <w:r w:rsidR="00BE0E93">
        <w:rPr>
          <w:sz w:val="24"/>
          <w:szCs w:val="24"/>
        </w:rPr>
        <w:t xml:space="preserve">bureaucratic paper-shuffling. I suspect most </w:t>
      </w:r>
      <w:r w:rsidR="00F25F38">
        <w:rPr>
          <w:sz w:val="24"/>
          <w:szCs w:val="24"/>
        </w:rPr>
        <w:t>citizens</w:t>
      </w:r>
      <w:r w:rsidR="00BE0E93">
        <w:rPr>
          <w:sz w:val="24"/>
          <w:szCs w:val="24"/>
        </w:rPr>
        <w:t xml:space="preserve"> find this eminently reasonable.</w:t>
      </w:r>
      <w:r w:rsidR="00F25F38">
        <w:rPr>
          <w:sz w:val="24"/>
          <w:szCs w:val="24"/>
        </w:rPr>
        <w:t xml:space="preserve"> </w:t>
      </w:r>
      <w:r w:rsidR="002E107B">
        <w:rPr>
          <w:sz w:val="24"/>
          <w:szCs w:val="24"/>
        </w:rPr>
        <w:t xml:space="preserve">Do not force these people into registering; </w:t>
      </w:r>
      <w:r w:rsidR="003E5DAA">
        <w:rPr>
          <w:sz w:val="24"/>
          <w:szCs w:val="24"/>
        </w:rPr>
        <w:t>you will not be thanked. Besides, y</w:t>
      </w:r>
      <w:r w:rsidR="002E107B">
        <w:rPr>
          <w:sz w:val="24"/>
          <w:szCs w:val="24"/>
        </w:rPr>
        <w:t xml:space="preserve">ou have enough work dealing with actual taxpayers. </w:t>
      </w:r>
      <w:r w:rsidR="002E107B">
        <w:rPr>
          <w:b/>
          <w:bCs/>
          <w:sz w:val="24"/>
          <w:szCs w:val="24"/>
        </w:rPr>
        <w:t xml:space="preserve">RESTORE the current version </w:t>
      </w:r>
      <w:r w:rsidR="002E107B" w:rsidRPr="002E107B">
        <w:rPr>
          <w:sz w:val="24"/>
          <w:szCs w:val="24"/>
        </w:rPr>
        <w:t>as Subsection A</w:t>
      </w:r>
      <w:r w:rsidR="002E107B">
        <w:rPr>
          <w:sz w:val="24"/>
          <w:szCs w:val="24"/>
        </w:rPr>
        <w:t>.</w:t>
      </w:r>
    </w:p>
    <w:p w14:paraId="6434F763" w14:textId="04FB49F3" w:rsidR="00835509" w:rsidRDefault="002E107B" w:rsidP="009C4AB6">
      <w:pPr>
        <w:rPr>
          <w:sz w:val="24"/>
          <w:szCs w:val="24"/>
        </w:rPr>
      </w:pPr>
      <w:r>
        <w:rPr>
          <w:sz w:val="24"/>
          <w:szCs w:val="24"/>
        </w:rPr>
        <w:tab/>
        <w:t xml:space="preserve">Subsections B and C: </w:t>
      </w:r>
      <w:r w:rsidR="00723718">
        <w:rPr>
          <w:sz w:val="24"/>
          <w:szCs w:val="24"/>
        </w:rPr>
        <w:t>Good cross-referencing.</w:t>
      </w:r>
    </w:p>
    <w:p w14:paraId="2CA8AA77" w14:textId="6A513A89" w:rsidR="00723718" w:rsidRDefault="00723718" w:rsidP="009C4AB6">
      <w:pPr>
        <w:rPr>
          <w:sz w:val="24"/>
          <w:szCs w:val="24"/>
        </w:rPr>
      </w:pPr>
      <w:r>
        <w:rPr>
          <w:sz w:val="24"/>
          <w:szCs w:val="24"/>
        </w:rPr>
        <w:tab/>
        <w:t xml:space="preserve">(d) </w:t>
      </w:r>
      <w:r w:rsidRPr="00723718">
        <w:rPr>
          <w:b/>
          <w:bCs/>
          <w:sz w:val="24"/>
          <w:szCs w:val="24"/>
        </w:rPr>
        <w:t>116.11</w:t>
      </w:r>
      <w:r>
        <w:rPr>
          <w:sz w:val="24"/>
          <w:szCs w:val="24"/>
        </w:rPr>
        <w:t>:</w:t>
      </w:r>
      <w:r w:rsidR="000A0BA1">
        <w:rPr>
          <w:sz w:val="24"/>
          <w:szCs w:val="24"/>
        </w:rPr>
        <w:t xml:space="preserve"> Subsection B, new sentence:</w:t>
      </w:r>
      <w:r>
        <w:rPr>
          <w:sz w:val="24"/>
          <w:szCs w:val="24"/>
        </w:rPr>
        <w:t xml:space="preserve"> </w:t>
      </w:r>
      <w:r w:rsidR="000A0BA1">
        <w:rPr>
          <w:sz w:val="24"/>
          <w:szCs w:val="24"/>
        </w:rPr>
        <w:t>Replace with</w:t>
      </w:r>
      <w:r>
        <w:rPr>
          <w:sz w:val="24"/>
          <w:szCs w:val="24"/>
        </w:rPr>
        <w:t xml:space="preserve"> </w:t>
      </w:r>
      <w:r w:rsidR="000A0BA1">
        <w:rPr>
          <w:sz w:val="24"/>
          <w:szCs w:val="24"/>
        </w:rPr>
        <w:t>“</w:t>
      </w:r>
      <w:r>
        <w:rPr>
          <w:sz w:val="24"/>
          <w:szCs w:val="24"/>
        </w:rPr>
        <w:t>If the taxpayer is engaged in the business of selling or leasing property and decides to terminate the business, receipts from selling the property of the business would not qualify for the exemption provided by Section 7-9-28 NMSA 1978</w:t>
      </w:r>
      <w:r w:rsidR="000A0BA1">
        <w:rPr>
          <w:sz w:val="24"/>
          <w:szCs w:val="24"/>
        </w:rPr>
        <w:t xml:space="preserve"> because those receipts are from engaging in the same line of business.”</w:t>
      </w:r>
    </w:p>
    <w:p w14:paraId="12417DFC" w14:textId="77777777" w:rsidR="000A0BA1" w:rsidRDefault="000A0BA1" w:rsidP="009C4AB6">
      <w:pPr>
        <w:rPr>
          <w:sz w:val="24"/>
          <w:szCs w:val="24"/>
        </w:rPr>
      </w:pPr>
      <w:r>
        <w:rPr>
          <w:sz w:val="24"/>
          <w:szCs w:val="24"/>
        </w:rPr>
        <w:tab/>
        <w:t xml:space="preserve">(e) </w:t>
      </w:r>
      <w:r w:rsidRPr="000A0BA1">
        <w:rPr>
          <w:b/>
          <w:bCs/>
          <w:sz w:val="24"/>
          <w:szCs w:val="24"/>
        </w:rPr>
        <w:t>116.12</w:t>
      </w:r>
      <w:r>
        <w:rPr>
          <w:sz w:val="24"/>
          <w:szCs w:val="24"/>
        </w:rPr>
        <w:t xml:space="preserve">: </w:t>
      </w:r>
    </w:p>
    <w:p w14:paraId="1464C817" w14:textId="5F4752FB" w:rsidR="00D2203D" w:rsidRDefault="000A0BA1" w:rsidP="000E684B">
      <w:pPr>
        <w:ind w:firstLine="720"/>
        <w:rPr>
          <w:sz w:val="24"/>
          <w:szCs w:val="24"/>
        </w:rPr>
      </w:pPr>
      <w:r>
        <w:rPr>
          <w:sz w:val="24"/>
          <w:szCs w:val="24"/>
        </w:rPr>
        <w:t>Subsection A: One of the bad habits of the regulation drafters in the 1960’s and 1970’s was making a blanket statement that some</w:t>
      </w:r>
      <w:r w:rsidR="00BF5FF1">
        <w:rPr>
          <w:sz w:val="24"/>
          <w:szCs w:val="24"/>
        </w:rPr>
        <w:t xml:space="preserve"> </w:t>
      </w:r>
      <w:r>
        <w:rPr>
          <w:sz w:val="24"/>
          <w:szCs w:val="24"/>
        </w:rPr>
        <w:t>thing</w:t>
      </w:r>
      <w:r w:rsidR="00BF5FF1">
        <w:rPr>
          <w:sz w:val="24"/>
          <w:szCs w:val="24"/>
        </w:rPr>
        <w:t xml:space="preserve"> or some activity</w:t>
      </w:r>
      <w:r>
        <w:rPr>
          <w:sz w:val="24"/>
          <w:szCs w:val="24"/>
        </w:rPr>
        <w:t xml:space="preserve"> </w:t>
      </w:r>
      <w:r w:rsidR="00FF5848">
        <w:rPr>
          <w:sz w:val="24"/>
          <w:szCs w:val="24"/>
        </w:rPr>
        <w:t xml:space="preserve">is </w:t>
      </w:r>
      <w:r>
        <w:rPr>
          <w:sz w:val="24"/>
          <w:szCs w:val="24"/>
        </w:rPr>
        <w:t xml:space="preserve">subject to gross receipts </w:t>
      </w:r>
      <w:r w:rsidRPr="00FF5848">
        <w:rPr>
          <w:i/>
          <w:iCs/>
          <w:sz w:val="24"/>
          <w:szCs w:val="24"/>
        </w:rPr>
        <w:t>tax</w:t>
      </w:r>
      <w:r>
        <w:rPr>
          <w:sz w:val="24"/>
          <w:szCs w:val="24"/>
        </w:rPr>
        <w:t xml:space="preserve">. </w:t>
      </w:r>
      <w:r w:rsidR="00BF5FF1">
        <w:rPr>
          <w:sz w:val="24"/>
          <w:szCs w:val="24"/>
        </w:rPr>
        <w:t xml:space="preserve">Receipts from the </w:t>
      </w:r>
      <w:r w:rsidR="00FF5848">
        <w:rPr>
          <w:sz w:val="24"/>
          <w:szCs w:val="24"/>
        </w:rPr>
        <w:t xml:space="preserve">thing </w:t>
      </w:r>
      <w:r w:rsidR="00BF5FF1">
        <w:rPr>
          <w:sz w:val="24"/>
          <w:szCs w:val="24"/>
        </w:rPr>
        <w:t xml:space="preserve">or activity </w:t>
      </w:r>
      <w:r w:rsidR="00FF5848">
        <w:rPr>
          <w:sz w:val="24"/>
          <w:szCs w:val="24"/>
        </w:rPr>
        <w:t>may well be</w:t>
      </w:r>
      <w:r w:rsidR="00B315A5">
        <w:rPr>
          <w:sz w:val="24"/>
          <w:szCs w:val="24"/>
        </w:rPr>
        <w:t xml:space="preserve"> “</w:t>
      </w:r>
      <w:r w:rsidR="00FF5848">
        <w:rPr>
          <w:sz w:val="24"/>
          <w:szCs w:val="24"/>
        </w:rPr>
        <w:t xml:space="preserve">gross receipts” but whether tax is due </w:t>
      </w:r>
      <w:r w:rsidR="00BF5FF1">
        <w:rPr>
          <w:sz w:val="24"/>
          <w:szCs w:val="24"/>
        </w:rPr>
        <w:t xml:space="preserve">is another question. It </w:t>
      </w:r>
      <w:r w:rsidR="00FF5848">
        <w:rPr>
          <w:sz w:val="24"/>
          <w:szCs w:val="24"/>
        </w:rPr>
        <w:t xml:space="preserve">depends on whether </w:t>
      </w:r>
      <w:r w:rsidR="00FF5848" w:rsidRPr="00FF5848">
        <w:rPr>
          <w:sz w:val="24"/>
          <w:szCs w:val="24"/>
          <w:u w:val="single"/>
        </w:rPr>
        <w:t>any</w:t>
      </w:r>
      <w:r w:rsidR="00FF5848">
        <w:rPr>
          <w:sz w:val="24"/>
          <w:szCs w:val="24"/>
        </w:rPr>
        <w:t xml:space="preserve"> exemption or deduction applies, not just the one that is </w:t>
      </w:r>
      <w:r w:rsidR="00F25F38">
        <w:rPr>
          <w:sz w:val="24"/>
          <w:szCs w:val="24"/>
        </w:rPr>
        <w:t xml:space="preserve">the </w:t>
      </w:r>
      <w:r w:rsidR="00FF5848">
        <w:rPr>
          <w:sz w:val="24"/>
          <w:szCs w:val="24"/>
        </w:rPr>
        <w:t>subject of the regulation. So</w:t>
      </w:r>
      <w:r w:rsidR="008A4C97">
        <w:rPr>
          <w:sz w:val="24"/>
          <w:szCs w:val="24"/>
        </w:rPr>
        <w:t>,</w:t>
      </w:r>
      <w:r w:rsidR="00FF5848">
        <w:rPr>
          <w:sz w:val="24"/>
          <w:szCs w:val="24"/>
        </w:rPr>
        <w:t xml:space="preserve"> the first thing is to strike “are subject to the gross receipts tax” from this subsection. The second is to broaden</w:t>
      </w:r>
      <w:r w:rsidR="00F25F38">
        <w:rPr>
          <w:sz w:val="24"/>
          <w:szCs w:val="24"/>
        </w:rPr>
        <w:t xml:space="preserve">, as you did earlier, </w:t>
      </w:r>
      <w:r w:rsidR="00FF5848">
        <w:rPr>
          <w:sz w:val="24"/>
          <w:szCs w:val="24"/>
        </w:rPr>
        <w:t>the actions</w:t>
      </w:r>
      <w:r w:rsidR="00F25F38">
        <w:rPr>
          <w:sz w:val="24"/>
          <w:szCs w:val="24"/>
        </w:rPr>
        <w:t xml:space="preserve"> </w:t>
      </w:r>
      <w:r w:rsidR="00FF5848">
        <w:rPr>
          <w:sz w:val="24"/>
          <w:szCs w:val="24"/>
        </w:rPr>
        <w:t>that may constitute engaging in the business of being the administrator or executor of estates. I suggest</w:t>
      </w:r>
      <w:r w:rsidR="00B315A5">
        <w:rPr>
          <w:sz w:val="24"/>
          <w:szCs w:val="24"/>
        </w:rPr>
        <w:t>:</w:t>
      </w:r>
    </w:p>
    <w:p w14:paraId="7D14BD36" w14:textId="718E730E" w:rsidR="00B315A5" w:rsidRDefault="00B315A5" w:rsidP="00B315A5">
      <w:pPr>
        <w:ind w:firstLine="720"/>
        <w:rPr>
          <w:sz w:val="24"/>
          <w:szCs w:val="24"/>
        </w:rPr>
      </w:pPr>
      <w:r>
        <w:rPr>
          <w:sz w:val="24"/>
          <w:szCs w:val="24"/>
        </w:rPr>
        <w:t>“A.</w:t>
      </w:r>
      <w:r>
        <w:rPr>
          <w:sz w:val="24"/>
          <w:szCs w:val="24"/>
        </w:rPr>
        <w:tab/>
        <w:t>The receipts of any person appointed as administrator or executor of an estate [</w:t>
      </w:r>
      <w:r w:rsidRPr="00B315A5">
        <w:rPr>
          <w:strike/>
          <w:sz w:val="24"/>
          <w:szCs w:val="24"/>
        </w:rPr>
        <w:t>are subject to the gross receipts tax and</w:t>
      </w:r>
      <w:r>
        <w:rPr>
          <w:sz w:val="24"/>
          <w:szCs w:val="24"/>
        </w:rPr>
        <w:t xml:space="preserve">] </w:t>
      </w:r>
      <w:r w:rsidRPr="00B315A5">
        <w:rPr>
          <w:sz w:val="24"/>
          <w:szCs w:val="24"/>
          <w:u w:val="single"/>
        </w:rPr>
        <w:t xml:space="preserve">who is </w:t>
      </w:r>
      <w:r>
        <w:rPr>
          <w:sz w:val="24"/>
          <w:szCs w:val="24"/>
          <w:u w:val="single"/>
        </w:rPr>
        <w:t xml:space="preserve">regularly </w:t>
      </w:r>
      <w:r w:rsidRPr="00B315A5">
        <w:rPr>
          <w:sz w:val="24"/>
          <w:szCs w:val="24"/>
          <w:u w:val="single"/>
        </w:rPr>
        <w:t>engaged in the business of providing such services</w:t>
      </w:r>
      <w:r>
        <w:rPr>
          <w:sz w:val="24"/>
          <w:szCs w:val="24"/>
        </w:rPr>
        <w:t xml:space="preserve"> are not exempt from the gross receipts tax pursuant to Section 7-9-28 NMSA 1978. </w:t>
      </w:r>
      <w:r w:rsidRPr="00B315A5">
        <w:rPr>
          <w:sz w:val="24"/>
          <w:szCs w:val="24"/>
          <w:u w:val="single"/>
        </w:rPr>
        <w:t>Whether the person is regularly engaged in providing such services will be determined by application of the criteria presented in 3.2.116.8 NMAC.</w:t>
      </w:r>
      <w:r w:rsidRPr="00B315A5">
        <w:rPr>
          <w:sz w:val="24"/>
          <w:szCs w:val="24"/>
        </w:rPr>
        <w:t xml:space="preserve"> [</w:t>
      </w:r>
      <w:r w:rsidRPr="00B315A5">
        <w:rPr>
          <w:strike/>
          <w:sz w:val="24"/>
          <w:szCs w:val="24"/>
        </w:rPr>
        <w:t>The duration of … or administrator.</w:t>
      </w:r>
      <w:r>
        <w:rPr>
          <w:sz w:val="24"/>
          <w:szCs w:val="24"/>
        </w:rPr>
        <w:t>]</w:t>
      </w:r>
    </w:p>
    <w:p w14:paraId="5866B7A3" w14:textId="4CAFF262" w:rsidR="00B315A5" w:rsidRDefault="008A4C97" w:rsidP="000E684B">
      <w:pPr>
        <w:ind w:firstLine="720"/>
        <w:rPr>
          <w:sz w:val="24"/>
          <w:szCs w:val="24"/>
        </w:rPr>
      </w:pPr>
      <w:r>
        <w:rPr>
          <w:sz w:val="24"/>
          <w:szCs w:val="24"/>
        </w:rPr>
        <w:t>Old s</w:t>
      </w:r>
      <w:r w:rsidR="00B315A5">
        <w:rPr>
          <w:sz w:val="24"/>
          <w:szCs w:val="24"/>
        </w:rPr>
        <w:t xml:space="preserve">ubsection </w:t>
      </w:r>
      <w:r>
        <w:rPr>
          <w:sz w:val="24"/>
          <w:szCs w:val="24"/>
        </w:rPr>
        <w:t>B, new C</w:t>
      </w:r>
      <w:r w:rsidR="00B315A5">
        <w:rPr>
          <w:sz w:val="24"/>
          <w:szCs w:val="24"/>
        </w:rPr>
        <w:t xml:space="preserve">: </w:t>
      </w:r>
      <w:r>
        <w:rPr>
          <w:sz w:val="24"/>
          <w:szCs w:val="24"/>
        </w:rPr>
        <w:t>This is strange; always has been. If the person acts to waive all fees but nonetheless receives and cashes payment for those services, TRD will credit the good intentions? No</w:t>
      </w:r>
      <w:r w:rsidR="000F15C0">
        <w:rPr>
          <w:sz w:val="24"/>
          <w:szCs w:val="24"/>
        </w:rPr>
        <w:t>t in this world</w:t>
      </w:r>
      <w:r>
        <w:rPr>
          <w:sz w:val="24"/>
          <w:szCs w:val="24"/>
        </w:rPr>
        <w:t xml:space="preserve">! In that case, the receipts are gross receipts not subject to the </w:t>
      </w:r>
      <w:r>
        <w:rPr>
          <w:sz w:val="24"/>
          <w:szCs w:val="24"/>
        </w:rPr>
        <w:lastRenderedPageBreak/>
        <w:t>exemption provided by Section 7-9-28 NMSA 1978. If the fees are in fact waived, there are no gross receipts and accordingly no gross receipts tax</w:t>
      </w:r>
      <w:r w:rsidR="007534E3">
        <w:rPr>
          <w:sz w:val="24"/>
          <w:szCs w:val="24"/>
        </w:rPr>
        <w:t xml:space="preserve"> due</w:t>
      </w:r>
      <w:r>
        <w:rPr>
          <w:sz w:val="24"/>
          <w:szCs w:val="24"/>
        </w:rPr>
        <w:t>.</w:t>
      </w:r>
    </w:p>
    <w:p w14:paraId="40C86AE2" w14:textId="77777777" w:rsidR="00A6454C" w:rsidRDefault="00A6454C" w:rsidP="00B315A5">
      <w:pPr>
        <w:ind w:firstLine="720"/>
        <w:rPr>
          <w:sz w:val="24"/>
          <w:szCs w:val="24"/>
        </w:rPr>
      </w:pPr>
      <w:r>
        <w:rPr>
          <w:sz w:val="24"/>
          <w:szCs w:val="24"/>
        </w:rPr>
        <w:t xml:space="preserve">(f) </w:t>
      </w:r>
      <w:r w:rsidRPr="00A6454C">
        <w:rPr>
          <w:b/>
          <w:bCs/>
          <w:sz w:val="24"/>
          <w:szCs w:val="24"/>
        </w:rPr>
        <w:t>116.13</w:t>
      </w:r>
      <w:r>
        <w:rPr>
          <w:sz w:val="24"/>
          <w:szCs w:val="24"/>
        </w:rPr>
        <w:t>: OK</w:t>
      </w:r>
    </w:p>
    <w:p w14:paraId="45C4F1B1" w14:textId="6CECD9B7" w:rsidR="00B315A5" w:rsidRDefault="00A6454C" w:rsidP="00B315A5">
      <w:pPr>
        <w:ind w:firstLine="720"/>
        <w:rPr>
          <w:sz w:val="24"/>
          <w:szCs w:val="24"/>
        </w:rPr>
      </w:pPr>
      <w:r>
        <w:rPr>
          <w:sz w:val="24"/>
          <w:szCs w:val="24"/>
        </w:rPr>
        <w:t xml:space="preserve">(g) </w:t>
      </w:r>
      <w:r w:rsidRPr="00A6454C">
        <w:rPr>
          <w:b/>
          <w:bCs/>
          <w:sz w:val="24"/>
          <w:szCs w:val="24"/>
        </w:rPr>
        <w:t>116.14</w:t>
      </w:r>
      <w:r>
        <w:rPr>
          <w:sz w:val="24"/>
          <w:szCs w:val="24"/>
        </w:rPr>
        <w:t xml:space="preserve">: First problem is that 26 USC 168 does not define “safe harbor lease” and has not for a very long time. Towards the bottom of the notes under that section, there is discussion of the </w:t>
      </w:r>
      <w:r w:rsidR="00CD1D67">
        <w:rPr>
          <w:sz w:val="24"/>
          <w:szCs w:val="24"/>
        </w:rPr>
        <w:t xml:space="preserve">1982 </w:t>
      </w:r>
      <w:r>
        <w:rPr>
          <w:sz w:val="24"/>
          <w:szCs w:val="24"/>
        </w:rPr>
        <w:t>TEFRA provision that provided for a “transitional safe harbor lease” (also undefined).</w:t>
      </w:r>
      <w:r w:rsidR="00E43A6E">
        <w:rPr>
          <w:sz w:val="24"/>
          <w:szCs w:val="24"/>
        </w:rPr>
        <w:t xml:space="preserve"> Second problem is that</w:t>
      </w:r>
      <w:r>
        <w:rPr>
          <w:sz w:val="24"/>
          <w:szCs w:val="24"/>
        </w:rPr>
        <w:t xml:space="preserve"> </w:t>
      </w:r>
      <w:r w:rsidR="00E43A6E">
        <w:rPr>
          <w:sz w:val="24"/>
          <w:szCs w:val="24"/>
        </w:rPr>
        <w:t>a</w:t>
      </w:r>
      <w:r>
        <w:rPr>
          <w:sz w:val="24"/>
          <w:szCs w:val="24"/>
        </w:rPr>
        <w:t>ll of that was</w:t>
      </w:r>
      <w:r w:rsidR="00E43A6E">
        <w:rPr>
          <w:sz w:val="24"/>
          <w:szCs w:val="24"/>
        </w:rPr>
        <w:t xml:space="preserve"> over</w:t>
      </w:r>
      <w:r>
        <w:rPr>
          <w:sz w:val="24"/>
          <w:szCs w:val="24"/>
        </w:rPr>
        <w:t xml:space="preserve"> 40 years ago, which hints that this rule is obsolete. I suggest that you </w:t>
      </w:r>
      <w:r w:rsidRPr="00A6454C">
        <w:rPr>
          <w:b/>
          <w:bCs/>
          <w:sz w:val="24"/>
          <w:szCs w:val="24"/>
        </w:rPr>
        <w:t>strike 3.2.116.14 NMAC</w:t>
      </w:r>
      <w:r>
        <w:rPr>
          <w:sz w:val="24"/>
          <w:szCs w:val="24"/>
        </w:rPr>
        <w:t>. If anyone squawks, react appropriately.</w:t>
      </w:r>
    </w:p>
    <w:p w14:paraId="4BA76157" w14:textId="77777777" w:rsidR="00B315A5" w:rsidRDefault="00B315A5" w:rsidP="00B315A5">
      <w:pPr>
        <w:ind w:firstLine="720"/>
        <w:rPr>
          <w:sz w:val="24"/>
          <w:szCs w:val="24"/>
        </w:rPr>
      </w:pPr>
    </w:p>
    <w:p w14:paraId="05522C49" w14:textId="77777777" w:rsidR="00F22BF8" w:rsidRPr="00B315A5" w:rsidRDefault="00F22BF8" w:rsidP="00B315A5">
      <w:pPr>
        <w:ind w:firstLine="720"/>
        <w:rPr>
          <w:sz w:val="24"/>
          <w:szCs w:val="24"/>
        </w:rPr>
      </w:pPr>
    </w:p>
    <w:p w14:paraId="1541863D" w14:textId="5BA72262" w:rsidR="000A0BA1" w:rsidRDefault="006B5C01" w:rsidP="009C4AB6">
      <w:pPr>
        <w:rPr>
          <w:sz w:val="24"/>
          <w:szCs w:val="24"/>
        </w:rPr>
      </w:pPr>
      <w:r>
        <w:rPr>
          <w:sz w:val="24"/>
          <w:szCs w:val="24"/>
        </w:rPr>
        <w:tab/>
        <w:t xml:space="preserve">3. </w:t>
      </w:r>
      <w:r w:rsidRPr="006B5C01">
        <w:rPr>
          <w:rFonts w:ascii="Verdana" w:hAnsi="Verdana"/>
          <w:sz w:val="28"/>
          <w:szCs w:val="28"/>
        </w:rPr>
        <w:t>Amendments of 3.2.211 NMAC</w:t>
      </w:r>
    </w:p>
    <w:p w14:paraId="2D4C6E88" w14:textId="27D7D516" w:rsidR="00A6454C" w:rsidRDefault="00E43A6E" w:rsidP="009C4AB6">
      <w:pPr>
        <w:rPr>
          <w:sz w:val="24"/>
          <w:szCs w:val="24"/>
        </w:rPr>
      </w:pPr>
      <w:r>
        <w:rPr>
          <w:sz w:val="24"/>
          <w:szCs w:val="24"/>
        </w:rPr>
        <w:tab/>
        <w:t xml:space="preserve">(a) </w:t>
      </w:r>
      <w:r w:rsidRPr="00E43A6E">
        <w:rPr>
          <w:b/>
          <w:bCs/>
          <w:sz w:val="24"/>
          <w:szCs w:val="24"/>
        </w:rPr>
        <w:t>211.7</w:t>
      </w:r>
      <w:r>
        <w:rPr>
          <w:sz w:val="24"/>
          <w:szCs w:val="24"/>
        </w:rPr>
        <w:t xml:space="preserve">: </w:t>
      </w:r>
    </w:p>
    <w:p w14:paraId="5BEDC2B1" w14:textId="20ABEE4F" w:rsidR="009D6041" w:rsidRDefault="004123EF" w:rsidP="009C4AB6">
      <w:pPr>
        <w:rPr>
          <w:sz w:val="24"/>
          <w:szCs w:val="24"/>
        </w:rPr>
      </w:pPr>
      <w:r>
        <w:rPr>
          <w:sz w:val="24"/>
          <w:szCs w:val="24"/>
        </w:rPr>
        <w:tab/>
      </w:r>
      <w:r w:rsidR="009D6041">
        <w:rPr>
          <w:sz w:val="24"/>
          <w:szCs w:val="24"/>
        </w:rPr>
        <w:t xml:space="preserve">Subsection A: No quarrel with definition </w:t>
      </w:r>
      <w:r w:rsidR="00535128">
        <w:rPr>
          <w:sz w:val="24"/>
          <w:szCs w:val="24"/>
        </w:rPr>
        <w:t xml:space="preserve">of “assisted living facility” </w:t>
      </w:r>
      <w:r w:rsidR="009D6041">
        <w:rPr>
          <w:sz w:val="24"/>
          <w:szCs w:val="24"/>
        </w:rPr>
        <w:t>but these facilities are just one</w:t>
      </w:r>
      <w:r w:rsidR="008F0E0B">
        <w:rPr>
          <w:sz w:val="24"/>
          <w:szCs w:val="24"/>
        </w:rPr>
        <w:t xml:space="preserve"> type</w:t>
      </w:r>
      <w:r w:rsidR="009D6041">
        <w:rPr>
          <w:sz w:val="24"/>
          <w:szCs w:val="24"/>
        </w:rPr>
        <w:t xml:space="preserve"> of a range of facilities providing lodging, meals and other services to elderly </w:t>
      </w:r>
      <w:r w:rsidR="008F0E0B">
        <w:rPr>
          <w:sz w:val="24"/>
          <w:szCs w:val="24"/>
        </w:rPr>
        <w:t xml:space="preserve">persons </w:t>
      </w:r>
      <w:r w:rsidR="009D6041">
        <w:rPr>
          <w:sz w:val="24"/>
          <w:szCs w:val="24"/>
        </w:rPr>
        <w:t>and others. Be prepared to cover other types of facilities.</w:t>
      </w:r>
    </w:p>
    <w:p w14:paraId="1B865606" w14:textId="6E452591" w:rsidR="004123EF" w:rsidRDefault="004123EF" w:rsidP="000E684B">
      <w:pPr>
        <w:ind w:firstLine="720"/>
        <w:rPr>
          <w:sz w:val="24"/>
          <w:szCs w:val="24"/>
        </w:rPr>
      </w:pPr>
      <w:r>
        <w:rPr>
          <w:sz w:val="24"/>
          <w:szCs w:val="24"/>
        </w:rPr>
        <w:t>Delete Subsections D (lease or leasing) &amp; E (licensing or license) as unnecessary and contrary to law (see 14-4-5.7B NMSA 1978).</w:t>
      </w:r>
    </w:p>
    <w:p w14:paraId="3021584E" w14:textId="0683816D" w:rsidR="004123EF" w:rsidRDefault="004123EF" w:rsidP="009C4AB6">
      <w:pPr>
        <w:rPr>
          <w:sz w:val="24"/>
          <w:szCs w:val="24"/>
        </w:rPr>
      </w:pPr>
      <w:r>
        <w:rPr>
          <w:sz w:val="24"/>
          <w:szCs w:val="24"/>
        </w:rPr>
        <w:tab/>
      </w:r>
      <w:r w:rsidR="000E684B">
        <w:rPr>
          <w:sz w:val="24"/>
          <w:szCs w:val="24"/>
        </w:rPr>
        <w:t xml:space="preserve">Subsection F: </w:t>
      </w:r>
      <w:r>
        <w:rPr>
          <w:sz w:val="24"/>
          <w:szCs w:val="24"/>
        </w:rPr>
        <w:t xml:space="preserve">The proposed definition of “manufactured home” </w:t>
      </w:r>
      <w:r w:rsidR="009D6041">
        <w:rPr>
          <w:sz w:val="24"/>
          <w:szCs w:val="24"/>
        </w:rPr>
        <w:t>at Subsection F differ</w:t>
      </w:r>
      <w:r>
        <w:rPr>
          <w:sz w:val="24"/>
          <w:szCs w:val="24"/>
        </w:rPr>
        <w:t>s substantially from the definitions in Sections 7-9</w:t>
      </w:r>
      <w:r w:rsidR="009D6041">
        <w:rPr>
          <w:sz w:val="24"/>
          <w:szCs w:val="24"/>
        </w:rPr>
        <w:t>-3J</w:t>
      </w:r>
      <w:r w:rsidR="00535128">
        <w:rPr>
          <w:sz w:val="24"/>
          <w:szCs w:val="24"/>
        </w:rPr>
        <w:t xml:space="preserve">, </w:t>
      </w:r>
      <w:r w:rsidR="009D6041">
        <w:rPr>
          <w:sz w:val="24"/>
          <w:szCs w:val="24"/>
        </w:rPr>
        <w:t>7-14-2B</w:t>
      </w:r>
      <w:r w:rsidR="00535128">
        <w:rPr>
          <w:sz w:val="24"/>
          <w:szCs w:val="24"/>
        </w:rPr>
        <w:t>, 7-35-2E and</w:t>
      </w:r>
      <w:r w:rsidR="009D6041">
        <w:rPr>
          <w:sz w:val="24"/>
          <w:szCs w:val="24"/>
        </w:rPr>
        <w:t xml:space="preserve"> </w:t>
      </w:r>
      <w:r w:rsidR="00535128">
        <w:rPr>
          <w:sz w:val="24"/>
          <w:szCs w:val="24"/>
        </w:rPr>
        <w:t xml:space="preserve">66-4-1.11B </w:t>
      </w:r>
      <w:r w:rsidR="009D6041">
        <w:rPr>
          <w:sz w:val="24"/>
          <w:szCs w:val="24"/>
        </w:rPr>
        <w:t>NMSA 1978</w:t>
      </w:r>
      <w:r w:rsidR="00535128">
        <w:rPr>
          <w:sz w:val="24"/>
          <w:szCs w:val="24"/>
        </w:rPr>
        <w:t>, mainly</w:t>
      </w:r>
      <w:r w:rsidR="009D6041">
        <w:rPr>
          <w:sz w:val="24"/>
          <w:szCs w:val="24"/>
        </w:rPr>
        <w:t xml:space="preserve"> by </w:t>
      </w:r>
      <w:r w:rsidR="007154B2">
        <w:rPr>
          <w:sz w:val="24"/>
          <w:szCs w:val="24"/>
        </w:rPr>
        <w:t>disregarding</w:t>
      </w:r>
      <w:r w:rsidR="009D6041">
        <w:rPr>
          <w:sz w:val="24"/>
          <w:szCs w:val="24"/>
        </w:rPr>
        <w:t xml:space="preserve"> the width and length specifications. I believe this is beyond the Secretary’s authority in that it attempts to </w:t>
      </w:r>
      <w:r w:rsidR="00535128">
        <w:rPr>
          <w:sz w:val="24"/>
          <w:szCs w:val="24"/>
        </w:rPr>
        <w:t>alter</w:t>
      </w:r>
      <w:r w:rsidR="009D6041">
        <w:rPr>
          <w:sz w:val="24"/>
          <w:szCs w:val="24"/>
        </w:rPr>
        <w:t xml:space="preserve"> administratively what the Legislature has determined by law. Delete this subsection as well.</w:t>
      </w:r>
    </w:p>
    <w:p w14:paraId="4B647ADC" w14:textId="7B7FBBF9" w:rsidR="009E4082" w:rsidRDefault="009E4082" w:rsidP="009C4AB6">
      <w:pPr>
        <w:rPr>
          <w:sz w:val="24"/>
          <w:szCs w:val="24"/>
        </w:rPr>
      </w:pPr>
      <w:r>
        <w:rPr>
          <w:sz w:val="24"/>
          <w:szCs w:val="24"/>
        </w:rPr>
        <w:tab/>
        <w:t xml:space="preserve">(b) </w:t>
      </w:r>
      <w:r w:rsidRPr="009E4082">
        <w:rPr>
          <w:b/>
          <w:bCs/>
          <w:sz w:val="24"/>
          <w:szCs w:val="24"/>
        </w:rPr>
        <w:t>211.8</w:t>
      </w:r>
      <w:r>
        <w:rPr>
          <w:sz w:val="24"/>
          <w:szCs w:val="24"/>
        </w:rPr>
        <w:t>: OK</w:t>
      </w:r>
    </w:p>
    <w:p w14:paraId="3ADA486B" w14:textId="67220B57" w:rsidR="009E4082" w:rsidRDefault="009E4082" w:rsidP="009C4AB6">
      <w:pPr>
        <w:rPr>
          <w:sz w:val="24"/>
          <w:szCs w:val="24"/>
        </w:rPr>
      </w:pPr>
      <w:r>
        <w:rPr>
          <w:sz w:val="24"/>
          <w:szCs w:val="24"/>
        </w:rPr>
        <w:tab/>
        <w:t xml:space="preserve">(c) </w:t>
      </w:r>
      <w:r w:rsidRPr="009E4082">
        <w:rPr>
          <w:b/>
          <w:bCs/>
          <w:sz w:val="24"/>
          <w:szCs w:val="24"/>
        </w:rPr>
        <w:t>211.9</w:t>
      </w:r>
      <w:r>
        <w:rPr>
          <w:sz w:val="24"/>
          <w:szCs w:val="24"/>
        </w:rPr>
        <w:t>: OK</w:t>
      </w:r>
    </w:p>
    <w:p w14:paraId="68C26625" w14:textId="6F554E40" w:rsidR="009E4082" w:rsidRDefault="009E4082" w:rsidP="009C4AB6">
      <w:pPr>
        <w:rPr>
          <w:sz w:val="24"/>
          <w:szCs w:val="24"/>
        </w:rPr>
      </w:pPr>
      <w:r>
        <w:rPr>
          <w:sz w:val="24"/>
          <w:szCs w:val="24"/>
        </w:rPr>
        <w:tab/>
        <w:t xml:space="preserve">(d) </w:t>
      </w:r>
      <w:r w:rsidRPr="009E4082">
        <w:rPr>
          <w:b/>
          <w:bCs/>
          <w:sz w:val="24"/>
          <w:szCs w:val="24"/>
        </w:rPr>
        <w:t>211.10</w:t>
      </w:r>
      <w:r>
        <w:rPr>
          <w:sz w:val="24"/>
          <w:szCs w:val="24"/>
        </w:rPr>
        <w:t xml:space="preserve">: By removing the requirement for possessing a valid contractor’s license, you are expanding the field </w:t>
      </w:r>
      <w:r w:rsidR="0014288F">
        <w:rPr>
          <w:sz w:val="24"/>
          <w:szCs w:val="24"/>
        </w:rPr>
        <w:t>of those</w:t>
      </w:r>
      <w:r>
        <w:rPr>
          <w:sz w:val="24"/>
          <w:szCs w:val="24"/>
        </w:rPr>
        <w:t xml:space="preserve"> who are eligible for construction-related deductions and </w:t>
      </w:r>
      <w:r w:rsidR="0014288F">
        <w:rPr>
          <w:sz w:val="24"/>
          <w:szCs w:val="24"/>
        </w:rPr>
        <w:t xml:space="preserve">who </w:t>
      </w:r>
      <w:r>
        <w:rPr>
          <w:sz w:val="24"/>
          <w:szCs w:val="24"/>
        </w:rPr>
        <w:t>may deliver and accept NTTCs.</w:t>
      </w:r>
      <w:r w:rsidR="000E3A64">
        <w:rPr>
          <w:sz w:val="24"/>
          <w:szCs w:val="24"/>
        </w:rPr>
        <w:t xml:space="preserve"> Maybe this is a good move; I have no feel for it.  But it does merit a close review of the rules and processes surrounding construction</w:t>
      </w:r>
      <w:r w:rsidR="0014288F">
        <w:rPr>
          <w:sz w:val="24"/>
          <w:szCs w:val="24"/>
        </w:rPr>
        <w:t xml:space="preserve"> for possible impacts</w:t>
      </w:r>
      <w:r w:rsidR="000E3A64">
        <w:rPr>
          <w:sz w:val="24"/>
          <w:szCs w:val="24"/>
        </w:rPr>
        <w:t>.</w:t>
      </w:r>
    </w:p>
    <w:p w14:paraId="643CA17C" w14:textId="3EBB0F58" w:rsidR="000E3A64" w:rsidRDefault="000E3A64" w:rsidP="009C4AB6">
      <w:pPr>
        <w:rPr>
          <w:sz w:val="24"/>
          <w:szCs w:val="24"/>
        </w:rPr>
      </w:pPr>
      <w:r>
        <w:rPr>
          <w:sz w:val="24"/>
          <w:szCs w:val="24"/>
        </w:rPr>
        <w:tab/>
        <w:t xml:space="preserve">(e) </w:t>
      </w:r>
      <w:r w:rsidRPr="000E3A64">
        <w:rPr>
          <w:b/>
          <w:bCs/>
          <w:sz w:val="24"/>
          <w:szCs w:val="24"/>
        </w:rPr>
        <w:t>211.11</w:t>
      </w:r>
      <w:r>
        <w:rPr>
          <w:sz w:val="24"/>
          <w:szCs w:val="24"/>
        </w:rPr>
        <w:t>: OK.</w:t>
      </w:r>
    </w:p>
    <w:p w14:paraId="5C1CCC0D" w14:textId="121DB282" w:rsidR="000E3A64" w:rsidRDefault="000E3A64" w:rsidP="009C4AB6">
      <w:pPr>
        <w:rPr>
          <w:sz w:val="24"/>
          <w:szCs w:val="24"/>
        </w:rPr>
      </w:pPr>
      <w:r>
        <w:rPr>
          <w:sz w:val="24"/>
          <w:szCs w:val="24"/>
        </w:rPr>
        <w:tab/>
        <w:t xml:space="preserve">(f) </w:t>
      </w:r>
      <w:r w:rsidRPr="000E3A64">
        <w:rPr>
          <w:b/>
          <w:bCs/>
          <w:sz w:val="24"/>
          <w:szCs w:val="24"/>
        </w:rPr>
        <w:t>211.12</w:t>
      </w:r>
      <w:r w:rsidR="00526999">
        <w:rPr>
          <w:b/>
          <w:bCs/>
          <w:sz w:val="24"/>
          <w:szCs w:val="24"/>
        </w:rPr>
        <w:t xml:space="preserve"> &amp; .13</w:t>
      </w:r>
      <w:r>
        <w:rPr>
          <w:sz w:val="24"/>
          <w:szCs w:val="24"/>
        </w:rPr>
        <w:t xml:space="preserve">: </w:t>
      </w:r>
    </w:p>
    <w:p w14:paraId="719B487E" w14:textId="1B55B071" w:rsidR="000E3A64" w:rsidRDefault="000E3A64" w:rsidP="009C4AB6">
      <w:pPr>
        <w:rPr>
          <w:sz w:val="24"/>
          <w:szCs w:val="24"/>
        </w:rPr>
      </w:pPr>
      <w:r>
        <w:rPr>
          <w:sz w:val="24"/>
          <w:szCs w:val="24"/>
        </w:rPr>
        <w:tab/>
        <w:t>Subsection A: It is good—both for the taxpayers and Department personnel--to lay out the principle that the examples are supposed to illustrate.</w:t>
      </w:r>
    </w:p>
    <w:p w14:paraId="44782569" w14:textId="70141787" w:rsidR="000E3A64" w:rsidRDefault="000E3A64" w:rsidP="009C4AB6">
      <w:pPr>
        <w:rPr>
          <w:sz w:val="24"/>
          <w:szCs w:val="24"/>
        </w:rPr>
      </w:pPr>
      <w:r>
        <w:rPr>
          <w:sz w:val="24"/>
          <w:szCs w:val="24"/>
        </w:rPr>
        <w:tab/>
        <w:t xml:space="preserve">Subsection C: I know you simply have moved the substance of 3.2.211.13 NMAC into this subsection. Yet the old rule papered over an issue. </w:t>
      </w:r>
      <w:r w:rsidR="00526999">
        <w:rPr>
          <w:sz w:val="24"/>
          <w:szCs w:val="24"/>
        </w:rPr>
        <w:t xml:space="preserve">Why are we treating leased gasoline stations differently than, say, </w:t>
      </w:r>
      <w:r w:rsidR="00B14468">
        <w:rPr>
          <w:sz w:val="24"/>
          <w:szCs w:val="24"/>
        </w:rPr>
        <w:t xml:space="preserve">leased </w:t>
      </w:r>
      <w:r w:rsidR="00526999">
        <w:rPr>
          <w:sz w:val="24"/>
          <w:szCs w:val="24"/>
        </w:rPr>
        <w:t xml:space="preserve">furnished apartments? Does TRD really insist that </w:t>
      </w:r>
      <w:r>
        <w:rPr>
          <w:sz w:val="24"/>
          <w:szCs w:val="24"/>
        </w:rPr>
        <w:t>receipts from the rental of a furnished apartment must be decomposed into receipts from rental of real property vs those from rental of tangibles?</w:t>
      </w:r>
      <w:r w:rsidR="0014288F">
        <w:rPr>
          <w:sz w:val="24"/>
          <w:szCs w:val="24"/>
        </w:rPr>
        <w:t xml:space="preserve"> How about commercial “turn-key” operations?</w:t>
      </w:r>
    </w:p>
    <w:p w14:paraId="498E28AE" w14:textId="2B914F82" w:rsidR="009E4082" w:rsidRDefault="00526999" w:rsidP="009C4AB6">
      <w:pPr>
        <w:rPr>
          <w:sz w:val="24"/>
          <w:szCs w:val="24"/>
        </w:rPr>
      </w:pPr>
      <w:r>
        <w:rPr>
          <w:sz w:val="24"/>
          <w:szCs w:val="24"/>
        </w:rPr>
        <w:tab/>
        <w:t xml:space="preserve">(g) </w:t>
      </w:r>
      <w:r w:rsidRPr="00526999">
        <w:rPr>
          <w:b/>
          <w:bCs/>
          <w:sz w:val="24"/>
          <w:szCs w:val="24"/>
        </w:rPr>
        <w:t>211.14</w:t>
      </w:r>
      <w:r>
        <w:rPr>
          <w:sz w:val="24"/>
          <w:szCs w:val="24"/>
        </w:rPr>
        <w:t xml:space="preserve">: </w:t>
      </w:r>
    </w:p>
    <w:p w14:paraId="2B279BC7" w14:textId="6D7ABD81" w:rsidR="00526999" w:rsidRDefault="00526999" w:rsidP="009C4AB6">
      <w:pPr>
        <w:rPr>
          <w:sz w:val="24"/>
          <w:szCs w:val="24"/>
        </w:rPr>
      </w:pPr>
      <w:r>
        <w:rPr>
          <w:sz w:val="24"/>
          <w:szCs w:val="24"/>
        </w:rPr>
        <w:tab/>
        <w:t>General: Since the sentence starting “The following examples…” should immediately follow “GENERAL EXAMPLES:” and on the same line, the “A.” should be deleted.</w:t>
      </w:r>
    </w:p>
    <w:p w14:paraId="1950C1B2" w14:textId="2A1C663C" w:rsidR="00526999" w:rsidRDefault="00526999" w:rsidP="009C4AB6">
      <w:pPr>
        <w:rPr>
          <w:sz w:val="24"/>
          <w:szCs w:val="24"/>
        </w:rPr>
      </w:pPr>
      <w:r>
        <w:rPr>
          <w:sz w:val="24"/>
          <w:szCs w:val="24"/>
        </w:rPr>
        <w:tab/>
        <w:t xml:space="preserve">Subsection C: Perhaps it would help to modernize a bit by replacing “$1200 per year” with “a set annual rental”. </w:t>
      </w:r>
      <w:r w:rsidR="00B14468">
        <w:rPr>
          <w:sz w:val="24"/>
          <w:szCs w:val="24"/>
        </w:rPr>
        <w:t xml:space="preserve"> Also, to reinforce the point, add to the end of the last sentence “even if rented for periods in excess of a month”.</w:t>
      </w:r>
    </w:p>
    <w:p w14:paraId="6039EF55" w14:textId="65DCD0DE" w:rsidR="00B14468" w:rsidRDefault="00B14468" w:rsidP="009C4AB6">
      <w:pPr>
        <w:rPr>
          <w:sz w:val="24"/>
          <w:szCs w:val="24"/>
        </w:rPr>
      </w:pPr>
      <w:r>
        <w:rPr>
          <w:sz w:val="24"/>
          <w:szCs w:val="24"/>
        </w:rPr>
        <w:lastRenderedPageBreak/>
        <w:tab/>
        <w:t xml:space="preserve">(h) </w:t>
      </w:r>
      <w:r w:rsidRPr="00B14468">
        <w:rPr>
          <w:b/>
          <w:bCs/>
          <w:sz w:val="24"/>
          <w:szCs w:val="24"/>
        </w:rPr>
        <w:t>211.15</w:t>
      </w:r>
      <w:r>
        <w:rPr>
          <w:sz w:val="24"/>
          <w:szCs w:val="24"/>
        </w:rPr>
        <w:t>:</w:t>
      </w:r>
      <w:r w:rsidR="00C004C5">
        <w:rPr>
          <w:sz w:val="24"/>
          <w:szCs w:val="24"/>
        </w:rPr>
        <w:t xml:space="preserve"> This rule was repealed on 4/30/99 (</w:t>
      </w:r>
      <w:r w:rsidR="00F25F38">
        <w:rPr>
          <w:sz w:val="24"/>
          <w:szCs w:val="24"/>
        </w:rPr>
        <w:t>per</w:t>
      </w:r>
      <w:r w:rsidR="00C004C5">
        <w:rPr>
          <w:sz w:val="24"/>
          <w:szCs w:val="24"/>
        </w:rPr>
        <w:t xml:space="preserve"> New Mexico Selected Taxation and Revenue Laws and Regulations, 2001 Edition).</w:t>
      </w:r>
      <w:r>
        <w:rPr>
          <w:sz w:val="24"/>
          <w:szCs w:val="24"/>
        </w:rPr>
        <w:t xml:space="preserve"> How can you replace a rule that has not existed for 2</w:t>
      </w:r>
      <w:r w:rsidR="00C004C5">
        <w:rPr>
          <w:sz w:val="24"/>
          <w:szCs w:val="24"/>
        </w:rPr>
        <w:t>5</w:t>
      </w:r>
      <w:r>
        <w:rPr>
          <w:sz w:val="24"/>
          <w:szCs w:val="24"/>
        </w:rPr>
        <w:t xml:space="preserve"> years?</w:t>
      </w:r>
      <w:r w:rsidR="00C004C5">
        <w:rPr>
          <w:sz w:val="24"/>
          <w:szCs w:val="24"/>
        </w:rPr>
        <w:t xml:space="preserve"> Ignore the zombie-like activity in the history note and </w:t>
      </w:r>
      <w:r>
        <w:rPr>
          <w:sz w:val="24"/>
          <w:szCs w:val="24"/>
        </w:rPr>
        <w:t xml:space="preserve">just remove it </w:t>
      </w:r>
      <w:r w:rsidR="00F25F38">
        <w:rPr>
          <w:sz w:val="24"/>
          <w:szCs w:val="24"/>
        </w:rPr>
        <w:t xml:space="preserve">altogether </w:t>
      </w:r>
      <w:r>
        <w:rPr>
          <w:sz w:val="24"/>
          <w:szCs w:val="24"/>
        </w:rPr>
        <w:t>from this proposal.</w:t>
      </w:r>
      <w:r w:rsidR="00C004C5">
        <w:rPr>
          <w:sz w:val="24"/>
          <w:szCs w:val="24"/>
        </w:rPr>
        <w:t xml:space="preserve"> Maybe if it is left to die quietly, it won’t keep resurrecting itself.</w:t>
      </w:r>
    </w:p>
    <w:p w14:paraId="63400E2B" w14:textId="73655CAB" w:rsidR="00B14468" w:rsidRDefault="00B14468" w:rsidP="009C4AB6">
      <w:pPr>
        <w:rPr>
          <w:sz w:val="24"/>
          <w:szCs w:val="24"/>
        </w:rPr>
      </w:pPr>
      <w:r>
        <w:rPr>
          <w:sz w:val="24"/>
          <w:szCs w:val="24"/>
        </w:rPr>
        <w:tab/>
        <w:t xml:space="preserve">(i) </w:t>
      </w:r>
      <w:r w:rsidRPr="00B14468">
        <w:rPr>
          <w:b/>
          <w:bCs/>
          <w:sz w:val="24"/>
          <w:szCs w:val="24"/>
        </w:rPr>
        <w:t>211.16</w:t>
      </w:r>
      <w:r>
        <w:rPr>
          <w:sz w:val="24"/>
          <w:szCs w:val="24"/>
        </w:rPr>
        <w:t>: OK</w:t>
      </w:r>
    </w:p>
    <w:p w14:paraId="4A8F1565" w14:textId="7B1754D0" w:rsidR="00B14468" w:rsidRDefault="00B14468" w:rsidP="009C4AB6">
      <w:pPr>
        <w:rPr>
          <w:sz w:val="24"/>
          <w:szCs w:val="24"/>
        </w:rPr>
      </w:pPr>
      <w:r>
        <w:rPr>
          <w:sz w:val="24"/>
          <w:szCs w:val="24"/>
        </w:rPr>
        <w:tab/>
        <w:t xml:space="preserve">(j) </w:t>
      </w:r>
      <w:r w:rsidRPr="00B14468">
        <w:rPr>
          <w:b/>
          <w:bCs/>
          <w:sz w:val="24"/>
          <w:szCs w:val="24"/>
        </w:rPr>
        <w:t>211.17</w:t>
      </w:r>
      <w:r>
        <w:rPr>
          <w:sz w:val="24"/>
          <w:szCs w:val="24"/>
        </w:rPr>
        <w:t>: OK</w:t>
      </w:r>
    </w:p>
    <w:p w14:paraId="1300E31F" w14:textId="567FCF2D" w:rsidR="00B14468" w:rsidRDefault="005F70D1" w:rsidP="009C4AB6">
      <w:pPr>
        <w:rPr>
          <w:sz w:val="24"/>
          <w:szCs w:val="24"/>
        </w:rPr>
      </w:pPr>
      <w:r>
        <w:rPr>
          <w:sz w:val="24"/>
          <w:szCs w:val="24"/>
        </w:rPr>
        <w:tab/>
        <w:t xml:space="preserve">(k) </w:t>
      </w:r>
      <w:r w:rsidRPr="005F70D1">
        <w:rPr>
          <w:b/>
          <w:bCs/>
          <w:sz w:val="24"/>
          <w:szCs w:val="24"/>
        </w:rPr>
        <w:t>211.18</w:t>
      </w:r>
      <w:r>
        <w:rPr>
          <w:sz w:val="24"/>
          <w:szCs w:val="24"/>
        </w:rPr>
        <w:t>: OK</w:t>
      </w:r>
    </w:p>
    <w:p w14:paraId="43690BAE" w14:textId="77777777" w:rsidR="00B14468" w:rsidRDefault="00B14468" w:rsidP="009C4AB6">
      <w:pPr>
        <w:rPr>
          <w:sz w:val="24"/>
          <w:szCs w:val="24"/>
        </w:rPr>
      </w:pPr>
    </w:p>
    <w:p w14:paraId="1E5569D5" w14:textId="77777777" w:rsidR="00F22BF8" w:rsidRDefault="00F22BF8" w:rsidP="009C4AB6">
      <w:pPr>
        <w:rPr>
          <w:sz w:val="24"/>
          <w:szCs w:val="24"/>
        </w:rPr>
      </w:pPr>
    </w:p>
    <w:p w14:paraId="1CFB4352" w14:textId="77785357" w:rsidR="00855895" w:rsidRDefault="00855895" w:rsidP="00855895">
      <w:pPr>
        <w:rPr>
          <w:sz w:val="24"/>
          <w:szCs w:val="24"/>
        </w:rPr>
      </w:pPr>
      <w:r>
        <w:rPr>
          <w:sz w:val="24"/>
          <w:szCs w:val="24"/>
        </w:rPr>
        <w:tab/>
        <w:t xml:space="preserve">4.  </w:t>
      </w:r>
      <w:r w:rsidRPr="00855895">
        <w:rPr>
          <w:rFonts w:ascii="Verdana" w:hAnsi="Verdana"/>
          <w:sz w:val="28"/>
          <w:szCs w:val="28"/>
        </w:rPr>
        <w:t>New 7.3.30X NMAC</w:t>
      </w:r>
      <w:r>
        <w:rPr>
          <w:rFonts w:ascii="Verdana" w:hAnsi="Verdana"/>
          <w:sz w:val="28"/>
          <w:szCs w:val="28"/>
        </w:rPr>
        <w:t>, version 1</w:t>
      </w:r>
    </w:p>
    <w:p w14:paraId="6E527010" w14:textId="77777777" w:rsidR="00855895" w:rsidRDefault="00855895" w:rsidP="00855895">
      <w:pPr>
        <w:rPr>
          <w:sz w:val="24"/>
          <w:szCs w:val="24"/>
        </w:rPr>
      </w:pPr>
      <w:r>
        <w:rPr>
          <w:sz w:val="24"/>
          <w:szCs w:val="24"/>
        </w:rPr>
        <w:tab/>
        <w:t>(a) 7.3.30X.3:  Add the [xx/xx/</w:t>
      </w:r>
      <w:proofErr w:type="spellStart"/>
      <w:r>
        <w:rPr>
          <w:sz w:val="24"/>
          <w:szCs w:val="24"/>
        </w:rPr>
        <w:t>xxxx</w:t>
      </w:r>
      <w:proofErr w:type="spellEnd"/>
      <w:r>
        <w:rPr>
          <w:sz w:val="24"/>
          <w:szCs w:val="24"/>
        </w:rPr>
        <w:t>] placeholder.</w:t>
      </w:r>
    </w:p>
    <w:p w14:paraId="6BA1F665" w14:textId="00AE2FFE" w:rsidR="00855895" w:rsidRDefault="00855895" w:rsidP="00855895">
      <w:pPr>
        <w:rPr>
          <w:sz w:val="24"/>
          <w:szCs w:val="24"/>
        </w:rPr>
      </w:pPr>
      <w:r>
        <w:rPr>
          <w:sz w:val="24"/>
          <w:szCs w:val="24"/>
        </w:rPr>
        <w:tab/>
        <w:t xml:space="preserve">(b) 7.3.30X.7: As I understand NMAC’s </w:t>
      </w:r>
      <w:r w:rsidR="008F0E0B">
        <w:rPr>
          <w:sz w:val="24"/>
          <w:szCs w:val="24"/>
        </w:rPr>
        <w:t xml:space="preserve">unofficial </w:t>
      </w:r>
      <w:r>
        <w:rPr>
          <w:sz w:val="24"/>
          <w:szCs w:val="24"/>
        </w:rPr>
        <w:t>formatting rules, you cannot have an “A” without a “B”. Accordingly, drop the “A.” and move “Taxable period” to the DEFINITIONS line.</w:t>
      </w:r>
    </w:p>
    <w:p w14:paraId="3F765FC7" w14:textId="3642B157" w:rsidR="00855895" w:rsidRDefault="00855895" w:rsidP="00855895">
      <w:pPr>
        <w:rPr>
          <w:sz w:val="24"/>
          <w:szCs w:val="24"/>
        </w:rPr>
      </w:pPr>
      <w:r>
        <w:rPr>
          <w:sz w:val="24"/>
          <w:szCs w:val="24"/>
        </w:rPr>
        <w:tab/>
        <w:t>(c) 7.3.30X.8: It is true that the statute is inconsistent (“credit” in the catchline—which is not law—but “tax credit” in the text, which is) in its usage but Section 7-9-121 NMSA 1978 enacts a tax credit and this rule should use that term consistently throughout the rule. This has a bearing on whether Section 7-1-29.2 NMSA 1978 applies to Section 7-9-121 NMSA 1978. Also, add the [xx/xx/</w:t>
      </w:r>
      <w:proofErr w:type="spellStart"/>
      <w:r>
        <w:rPr>
          <w:sz w:val="24"/>
          <w:szCs w:val="24"/>
        </w:rPr>
        <w:t>xxxx</w:t>
      </w:r>
      <w:proofErr w:type="spellEnd"/>
      <w:r>
        <w:rPr>
          <w:sz w:val="24"/>
          <w:szCs w:val="24"/>
        </w:rPr>
        <w:t>] placeholder.</w:t>
      </w:r>
    </w:p>
    <w:p w14:paraId="73B8DFDA" w14:textId="77777777" w:rsidR="00A6454C" w:rsidRDefault="00A6454C" w:rsidP="009C4AB6">
      <w:pPr>
        <w:rPr>
          <w:sz w:val="24"/>
          <w:szCs w:val="24"/>
        </w:rPr>
      </w:pPr>
    </w:p>
    <w:p w14:paraId="525FA3BA" w14:textId="77777777" w:rsidR="00F22BF8" w:rsidRDefault="00F22BF8" w:rsidP="009C4AB6">
      <w:pPr>
        <w:rPr>
          <w:sz w:val="24"/>
          <w:szCs w:val="24"/>
        </w:rPr>
      </w:pPr>
    </w:p>
    <w:p w14:paraId="6213519B" w14:textId="4903592C" w:rsidR="00855895" w:rsidRDefault="00855895" w:rsidP="00855895">
      <w:pPr>
        <w:rPr>
          <w:sz w:val="24"/>
          <w:szCs w:val="24"/>
        </w:rPr>
      </w:pPr>
      <w:r>
        <w:rPr>
          <w:sz w:val="24"/>
          <w:szCs w:val="24"/>
        </w:rPr>
        <w:tab/>
        <w:t xml:space="preserve">5.  </w:t>
      </w:r>
      <w:r w:rsidRPr="00855895">
        <w:rPr>
          <w:rFonts w:ascii="Verdana" w:hAnsi="Verdana"/>
          <w:sz w:val="28"/>
          <w:szCs w:val="28"/>
        </w:rPr>
        <w:t>New 7.3.30X NMAC</w:t>
      </w:r>
      <w:r>
        <w:rPr>
          <w:rFonts w:ascii="Verdana" w:hAnsi="Verdana"/>
          <w:sz w:val="28"/>
          <w:szCs w:val="28"/>
        </w:rPr>
        <w:t>, version 2</w:t>
      </w:r>
    </w:p>
    <w:p w14:paraId="1A2E9814" w14:textId="77777777" w:rsidR="00855895" w:rsidRDefault="00855895" w:rsidP="00855895">
      <w:pPr>
        <w:rPr>
          <w:sz w:val="24"/>
          <w:szCs w:val="24"/>
        </w:rPr>
      </w:pPr>
      <w:r>
        <w:rPr>
          <w:sz w:val="24"/>
          <w:szCs w:val="24"/>
        </w:rPr>
        <w:tab/>
        <w:t>(a) 7.3.30X.3:  Add the [xx/xx/</w:t>
      </w:r>
      <w:proofErr w:type="spellStart"/>
      <w:r>
        <w:rPr>
          <w:sz w:val="24"/>
          <w:szCs w:val="24"/>
        </w:rPr>
        <w:t>xxxx</w:t>
      </w:r>
      <w:proofErr w:type="spellEnd"/>
      <w:r>
        <w:rPr>
          <w:sz w:val="24"/>
          <w:szCs w:val="24"/>
        </w:rPr>
        <w:t>] placeholder.</w:t>
      </w:r>
    </w:p>
    <w:p w14:paraId="088CF8E8" w14:textId="1A97C492" w:rsidR="00855895" w:rsidRDefault="00855895" w:rsidP="00855895">
      <w:pPr>
        <w:rPr>
          <w:sz w:val="24"/>
          <w:szCs w:val="24"/>
        </w:rPr>
      </w:pPr>
      <w:r>
        <w:rPr>
          <w:sz w:val="24"/>
          <w:szCs w:val="24"/>
        </w:rPr>
        <w:tab/>
        <w:t xml:space="preserve">(b) 7.3.30X.7: As I understand NMAC’s </w:t>
      </w:r>
      <w:r w:rsidR="008F0E0B">
        <w:rPr>
          <w:sz w:val="24"/>
          <w:szCs w:val="24"/>
        </w:rPr>
        <w:t xml:space="preserve">unofficial </w:t>
      </w:r>
      <w:r>
        <w:rPr>
          <w:sz w:val="24"/>
          <w:szCs w:val="24"/>
        </w:rPr>
        <w:t>formatting rules, you cannot have an “A” without a “B”. Accordingly, drop the “A.” and move “Taxable period” to the DEFINITIONS line.</w:t>
      </w:r>
    </w:p>
    <w:p w14:paraId="23359441" w14:textId="05B8643C" w:rsidR="00855895" w:rsidRDefault="00855895" w:rsidP="00855895">
      <w:pPr>
        <w:rPr>
          <w:sz w:val="24"/>
          <w:szCs w:val="24"/>
        </w:rPr>
      </w:pPr>
      <w:r>
        <w:rPr>
          <w:sz w:val="24"/>
          <w:szCs w:val="24"/>
        </w:rPr>
        <w:tab/>
        <w:t>(c) 7.3.30X.8: It is true that the statute is inconsistent (“credit” in the catchline—which is not law—but “tax credit” in the text, which is) in its usage but Section 7-9-58.1 NMSA 1978 enacts a tax credit and this rule should use that term consistently throughout the rule. This has a bearing on whether Section 7-1-29.2 NMSA 1978 applies to Section 7-9-58.1 NMSA 1978. Also, add the [xx/xx/</w:t>
      </w:r>
      <w:proofErr w:type="spellStart"/>
      <w:r>
        <w:rPr>
          <w:sz w:val="24"/>
          <w:szCs w:val="24"/>
        </w:rPr>
        <w:t>xxxx</w:t>
      </w:r>
      <w:proofErr w:type="spellEnd"/>
      <w:r>
        <w:rPr>
          <w:sz w:val="24"/>
          <w:szCs w:val="24"/>
        </w:rPr>
        <w:t>] placeholder.</w:t>
      </w:r>
    </w:p>
    <w:p w14:paraId="4E7C971D" w14:textId="77777777" w:rsidR="00855895" w:rsidRDefault="00855895" w:rsidP="009C4AB6">
      <w:pPr>
        <w:rPr>
          <w:sz w:val="24"/>
          <w:szCs w:val="24"/>
        </w:rPr>
      </w:pPr>
    </w:p>
    <w:p w14:paraId="03C51D44" w14:textId="77777777" w:rsidR="00F25F38" w:rsidRDefault="00F25F38" w:rsidP="009C4AB6">
      <w:pPr>
        <w:rPr>
          <w:sz w:val="24"/>
          <w:szCs w:val="24"/>
        </w:rPr>
      </w:pPr>
    </w:p>
    <w:p w14:paraId="73B44C77" w14:textId="68267993" w:rsidR="0022707E" w:rsidRPr="00A43F5D" w:rsidRDefault="0022707E" w:rsidP="009C4AB6">
      <w:pPr>
        <w:rPr>
          <w:sz w:val="24"/>
          <w:szCs w:val="24"/>
        </w:rPr>
      </w:pPr>
      <w:r w:rsidRPr="00A43F5D">
        <w:rPr>
          <w:sz w:val="24"/>
          <w:szCs w:val="24"/>
        </w:rPr>
        <w:t xml:space="preserve">Sincerely, </w:t>
      </w:r>
      <w:r w:rsidR="00B315A5">
        <w:rPr>
          <w:sz w:val="24"/>
          <w:szCs w:val="24"/>
        </w:rPr>
        <w:t xml:space="preserve"> </w:t>
      </w:r>
    </w:p>
    <w:p w14:paraId="66E66D16" w14:textId="77777777" w:rsidR="001E0319" w:rsidRPr="00A43F5D" w:rsidRDefault="001E0319" w:rsidP="009C4AB6">
      <w:pPr>
        <w:rPr>
          <w:sz w:val="24"/>
          <w:szCs w:val="24"/>
        </w:rPr>
      </w:pPr>
    </w:p>
    <w:p w14:paraId="30F3C893" w14:textId="77777777" w:rsidR="001E0319" w:rsidRPr="00A43F5D" w:rsidRDefault="001E0319" w:rsidP="009C4AB6">
      <w:pPr>
        <w:rPr>
          <w:sz w:val="24"/>
          <w:szCs w:val="24"/>
        </w:rPr>
      </w:pPr>
    </w:p>
    <w:p w14:paraId="1362723E" w14:textId="77777777" w:rsidR="001E0319" w:rsidRPr="00A43F5D" w:rsidRDefault="001E0319" w:rsidP="009C4AB6">
      <w:pPr>
        <w:rPr>
          <w:sz w:val="24"/>
          <w:szCs w:val="24"/>
        </w:rPr>
      </w:pPr>
    </w:p>
    <w:p w14:paraId="42C568E6" w14:textId="77777777" w:rsidR="009C4AB6" w:rsidRPr="00A43F5D" w:rsidRDefault="001E0319" w:rsidP="008F4FA8">
      <w:pPr>
        <w:rPr>
          <w:sz w:val="24"/>
          <w:szCs w:val="24"/>
        </w:rPr>
      </w:pPr>
      <w:r w:rsidRPr="00A43F5D">
        <w:rPr>
          <w:sz w:val="24"/>
          <w:szCs w:val="24"/>
        </w:rPr>
        <w:t>James P. O’Neill</w:t>
      </w:r>
    </w:p>
    <w:sectPr w:rsidR="009C4AB6" w:rsidRPr="00A43F5D" w:rsidSect="009E19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64B7B" w14:textId="77777777" w:rsidR="001532B4" w:rsidRDefault="001532B4" w:rsidP="004F5B01">
      <w:r>
        <w:separator/>
      </w:r>
    </w:p>
  </w:endnote>
  <w:endnote w:type="continuationSeparator" w:id="0">
    <w:p w14:paraId="39DBDA7A" w14:textId="77777777" w:rsidR="001532B4" w:rsidRDefault="001532B4" w:rsidP="004F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67067" w14:textId="77777777" w:rsidR="009E19C4" w:rsidRDefault="009E1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77BA6" w14:textId="5E42C1F8" w:rsidR="009E19C4" w:rsidRDefault="009E19C4" w:rsidP="009E19C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D286C" w14:textId="77777777" w:rsidR="009E19C4" w:rsidRDefault="009E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14DB0" w14:textId="77777777" w:rsidR="001532B4" w:rsidRDefault="001532B4" w:rsidP="004F5B01">
      <w:r>
        <w:separator/>
      </w:r>
    </w:p>
  </w:footnote>
  <w:footnote w:type="continuationSeparator" w:id="0">
    <w:p w14:paraId="4F84E8FA" w14:textId="77777777" w:rsidR="001532B4" w:rsidRDefault="001532B4" w:rsidP="004F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47603" w14:textId="77777777" w:rsidR="009E19C4" w:rsidRDefault="009E1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EC983" w14:textId="77777777" w:rsidR="009E19C4" w:rsidRDefault="009E1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61D97" w14:textId="77777777" w:rsidR="009E19C4" w:rsidRDefault="009E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42EE8"/>
    <w:multiLevelType w:val="hybridMultilevel"/>
    <w:tmpl w:val="37567198"/>
    <w:lvl w:ilvl="0" w:tplc="71FE8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5412A"/>
    <w:multiLevelType w:val="hybridMultilevel"/>
    <w:tmpl w:val="503ED8A2"/>
    <w:lvl w:ilvl="0" w:tplc="993C1C3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8F5838"/>
    <w:multiLevelType w:val="hybridMultilevel"/>
    <w:tmpl w:val="B970867C"/>
    <w:lvl w:ilvl="0" w:tplc="BF5E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A1BCC"/>
    <w:multiLevelType w:val="hybridMultilevel"/>
    <w:tmpl w:val="7FC4F890"/>
    <w:lvl w:ilvl="0" w:tplc="993C1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A0CEC"/>
    <w:multiLevelType w:val="hybridMultilevel"/>
    <w:tmpl w:val="B6243392"/>
    <w:lvl w:ilvl="0" w:tplc="137A745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0986109">
    <w:abstractNumId w:val="0"/>
  </w:num>
  <w:num w:numId="2" w16cid:durableId="54091517">
    <w:abstractNumId w:val="2"/>
  </w:num>
  <w:num w:numId="3" w16cid:durableId="353312506">
    <w:abstractNumId w:val="4"/>
  </w:num>
  <w:num w:numId="4" w16cid:durableId="776875522">
    <w:abstractNumId w:val="3"/>
  </w:num>
  <w:num w:numId="5" w16cid:durableId="201892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B6"/>
    <w:rsid w:val="00055FD6"/>
    <w:rsid w:val="000A0BA1"/>
    <w:rsid w:val="000E3A64"/>
    <w:rsid w:val="000E684B"/>
    <w:rsid w:val="000F15C0"/>
    <w:rsid w:val="0014288F"/>
    <w:rsid w:val="001532B4"/>
    <w:rsid w:val="0017384F"/>
    <w:rsid w:val="001815A4"/>
    <w:rsid w:val="001D0E83"/>
    <w:rsid w:val="001E0319"/>
    <w:rsid w:val="001E473F"/>
    <w:rsid w:val="0022707E"/>
    <w:rsid w:val="00232D5C"/>
    <w:rsid w:val="002330BE"/>
    <w:rsid w:val="002D164C"/>
    <w:rsid w:val="002E107B"/>
    <w:rsid w:val="003006DE"/>
    <w:rsid w:val="003242FD"/>
    <w:rsid w:val="003A7E3A"/>
    <w:rsid w:val="003C67CB"/>
    <w:rsid w:val="003D2549"/>
    <w:rsid w:val="003E5DAA"/>
    <w:rsid w:val="004123EF"/>
    <w:rsid w:val="004621EC"/>
    <w:rsid w:val="004706DB"/>
    <w:rsid w:val="004A61E7"/>
    <w:rsid w:val="004B2F8E"/>
    <w:rsid w:val="004F5B01"/>
    <w:rsid w:val="00524D00"/>
    <w:rsid w:val="00526999"/>
    <w:rsid w:val="00530C4A"/>
    <w:rsid w:val="00535128"/>
    <w:rsid w:val="005B60BC"/>
    <w:rsid w:val="005F70D1"/>
    <w:rsid w:val="006810B9"/>
    <w:rsid w:val="006A388B"/>
    <w:rsid w:val="006B5C01"/>
    <w:rsid w:val="006F1970"/>
    <w:rsid w:val="007154B2"/>
    <w:rsid w:val="00723718"/>
    <w:rsid w:val="00734DB5"/>
    <w:rsid w:val="00740B09"/>
    <w:rsid w:val="007534E3"/>
    <w:rsid w:val="00793331"/>
    <w:rsid w:val="0079409C"/>
    <w:rsid w:val="007B1BDF"/>
    <w:rsid w:val="007C5FCE"/>
    <w:rsid w:val="0080611C"/>
    <w:rsid w:val="00835509"/>
    <w:rsid w:val="00855895"/>
    <w:rsid w:val="008904CD"/>
    <w:rsid w:val="00893B49"/>
    <w:rsid w:val="008A4C97"/>
    <w:rsid w:val="008A6A69"/>
    <w:rsid w:val="008B294D"/>
    <w:rsid w:val="008F0E0B"/>
    <w:rsid w:val="008F4FA8"/>
    <w:rsid w:val="0090670C"/>
    <w:rsid w:val="00923AF1"/>
    <w:rsid w:val="009306FA"/>
    <w:rsid w:val="00990172"/>
    <w:rsid w:val="009B2E83"/>
    <w:rsid w:val="009C4AB6"/>
    <w:rsid w:val="009D15F8"/>
    <w:rsid w:val="009D6041"/>
    <w:rsid w:val="009E19C4"/>
    <w:rsid w:val="009E4082"/>
    <w:rsid w:val="00A17AE0"/>
    <w:rsid w:val="00A43F5D"/>
    <w:rsid w:val="00A6454C"/>
    <w:rsid w:val="00AF66B2"/>
    <w:rsid w:val="00AF6FB5"/>
    <w:rsid w:val="00B129EF"/>
    <w:rsid w:val="00B14468"/>
    <w:rsid w:val="00B153F6"/>
    <w:rsid w:val="00B24C3A"/>
    <w:rsid w:val="00B315A5"/>
    <w:rsid w:val="00BE0E93"/>
    <w:rsid w:val="00BF5FF1"/>
    <w:rsid w:val="00BF6F55"/>
    <w:rsid w:val="00C004C5"/>
    <w:rsid w:val="00C005EF"/>
    <w:rsid w:val="00C235F3"/>
    <w:rsid w:val="00C40F6B"/>
    <w:rsid w:val="00C468B1"/>
    <w:rsid w:val="00C85917"/>
    <w:rsid w:val="00C9186F"/>
    <w:rsid w:val="00CD02DA"/>
    <w:rsid w:val="00CD1D67"/>
    <w:rsid w:val="00CF6D5C"/>
    <w:rsid w:val="00D119EF"/>
    <w:rsid w:val="00D2203D"/>
    <w:rsid w:val="00D91306"/>
    <w:rsid w:val="00DD7B02"/>
    <w:rsid w:val="00DF674C"/>
    <w:rsid w:val="00E339E5"/>
    <w:rsid w:val="00E43A6E"/>
    <w:rsid w:val="00E80D5C"/>
    <w:rsid w:val="00EB4732"/>
    <w:rsid w:val="00EC0F6A"/>
    <w:rsid w:val="00EC756D"/>
    <w:rsid w:val="00F22BF8"/>
    <w:rsid w:val="00F25F38"/>
    <w:rsid w:val="00F34141"/>
    <w:rsid w:val="00F56D45"/>
    <w:rsid w:val="00F8779D"/>
    <w:rsid w:val="00FA6A40"/>
    <w:rsid w:val="00FC1DB4"/>
    <w:rsid w:val="00FF0508"/>
    <w:rsid w:val="00FF5848"/>
    <w:rsid w:val="00FF71EE"/>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AB29"/>
  <w15:docId w15:val="{CE27EC38-E0A6-4919-8935-7987847F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01"/>
    <w:pPr>
      <w:tabs>
        <w:tab w:val="center" w:pos="4680"/>
        <w:tab w:val="right" w:pos="9360"/>
      </w:tabs>
    </w:pPr>
  </w:style>
  <w:style w:type="character" w:customStyle="1" w:styleId="HeaderChar">
    <w:name w:val="Header Char"/>
    <w:basedOn w:val="DefaultParagraphFont"/>
    <w:link w:val="Header"/>
    <w:uiPriority w:val="99"/>
    <w:rsid w:val="004F5B01"/>
  </w:style>
  <w:style w:type="paragraph" w:styleId="Footer">
    <w:name w:val="footer"/>
    <w:basedOn w:val="Normal"/>
    <w:link w:val="FooterChar"/>
    <w:uiPriority w:val="99"/>
    <w:unhideWhenUsed/>
    <w:rsid w:val="004F5B01"/>
    <w:pPr>
      <w:tabs>
        <w:tab w:val="center" w:pos="4680"/>
        <w:tab w:val="right" w:pos="9360"/>
      </w:tabs>
    </w:pPr>
  </w:style>
  <w:style w:type="character" w:customStyle="1" w:styleId="FooterChar">
    <w:name w:val="Footer Char"/>
    <w:basedOn w:val="DefaultParagraphFont"/>
    <w:link w:val="Footer"/>
    <w:uiPriority w:val="99"/>
    <w:rsid w:val="004F5B01"/>
  </w:style>
  <w:style w:type="paragraph" w:styleId="ListParagraph">
    <w:name w:val="List Paragraph"/>
    <w:basedOn w:val="Normal"/>
    <w:uiPriority w:val="34"/>
    <w:qFormat/>
    <w:rsid w:val="0079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Romero, Alicia, TAX</cp:lastModifiedBy>
  <cp:revision>2</cp:revision>
  <cp:lastPrinted>2024-05-30T00:18:00Z</cp:lastPrinted>
  <dcterms:created xsi:type="dcterms:W3CDTF">2024-05-30T20:00:00Z</dcterms:created>
  <dcterms:modified xsi:type="dcterms:W3CDTF">2024-05-30T20:00:00Z</dcterms:modified>
</cp:coreProperties>
</file>